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40B61" w14:textId="4EEB4DB1" w:rsidR="00A34DD1" w:rsidRPr="00EE13F2" w:rsidRDefault="001D044E" w:rsidP="00EE13F2">
      <w:pPr>
        <w:spacing w:after="120" w:line="240" w:lineRule="auto"/>
        <w:rPr>
          <w:rFonts w:ascii="Arial" w:hAnsi="Arial" w:cs="Arial"/>
          <w:b/>
          <w:bCs/>
        </w:rPr>
      </w:pPr>
      <w:r w:rsidRPr="00EE13F2">
        <w:rPr>
          <w:rFonts w:ascii="Arial" w:hAnsi="Arial" w:cs="Arial"/>
          <w:b/>
          <w:bCs/>
        </w:rPr>
        <w:t xml:space="preserve">Atlas </w:t>
      </w:r>
      <w:r w:rsidR="00DD6E76" w:rsidRPr="00EE13F2">
        <w:rPr>
          <w:rFonts w:ascii="Arial" w:hAnsi="Arial" w:cs="Arial"/>
          <w:b/>
          <w:bCs/>
        </w:rPr>
        <w:t xml:space="preserve">Historique </w:t>
      </w:r>
      <w:r w:rsidRPr="00EE13F2">
        <w:rPr>
          <w:rFonts w:ascii="Arial" w:hAnsi="Arial" w:cs="Arial"/>
          <w:b/>
          <w:bCs/>
        </w:rPr>
        <w:t>du Proche-Orient</w:t>
      </w:r>
      <w:r w:rsidR="00DD6E76" w:rsidRPr="00EE13F2">
        <w:rPr>
          <w:rFonts w:ascii="Arial" w:hAnsi="Arial" w:cs="Arial"/>
          <w:b/>
          <w:bCs/>
        </w:rPr>
        <w:t xml:space="preserve"> Ancien</w:t>
      </w:r>
      <w:r w:rsidRPr="00EE13F2">
        <w:rPr>
          <w:rFonts w:ascii="Arial" w:hAnsi="Arial" w:cs="Arial"/>
          <w:b/>
          <w:bCs/>
        </w:rPr>
        <w:t>, Sauvage, 2020</w:t>
      </w:r>
    </w:p>
    <w:p w14:paraId="098A6BC4" w14:textId="33E72688" w:rsidR="001D044E" w:rsidRPr="00EE13F2" w:rsidRDefault="001D044E" w:rsidP="00EE13F2">
      <w:pPr>
        <w:spacing w:after="120" w:line="240" w:lineRule="auto"/>
        <w:rPr>
          <w:rFonts w:ascii="Arial" w:hAnsi="Arial" w:cs="Arial"/>
          <w:b/>
          <w:bCs/>
        </w:rPr>
      </w:pPr>
      <w:r w:rsidRPr="00EE13F2">
        <w:rPr>
          <w:rFonts w:ascii="Arial" w:hAnsi="Arial" w:cs="Arial"/>
          <w:b/>
          <w:bCs/>
        </w:rPr>
        <w:t>Les variations du tracé de la côte et des fleuves en basse</w:t>
      </w:r>
      <w:r w:rsidR="00DD6E76" w:rsidRPr="00EE13F2">
        <w:rPr>
          <w:rFonts w:ascii="Arial" w:hAnsi="Arial" w:cs="Arial"/>
          <w:b/>
          <w:bCs/>
        </w:rPr>
        <w:t xml:space="preserve"> </w:t>
      </w:r>
      <w:r w:rsidRPr="00EE13F2">
        <w:rPr>
          <w:rFonts w:ascii="Arial" w:hAnsi="Arial" w:cs="Arial"/>
          <w:b/>
          <w:bCs/>
        </w:rPr>
        <w:t>Mésopotamie</w:t>
      </w:r>
      <w:r w:rsidR="00DD6E76" w:rsidRPr="00EE13F2">
        <w:rPr>
          <w:rFonts w:ascii="Arial" w:hAnsi="Arial" w:cs="Arial"/>
          <w:b/>
          <w:bCs/>
        </w:rPr>
        <w:t>,</w:t>
      </w:r>
      <w:r w:rsidR="00DD6E76" w:rsidRPr="00EE13F2">
        <w:rPr>
          <w:rFonts w:ascii="Arial" w:hAnsi="Arial" w:cs="Arial"/>
          <w:b/>
          <w:bCs/>
        </w:rPr>
        <w:br/>
      </w:r>
      <w:r w:rsidRPr="00EE13F2">
        <w:rPr>
          <w:rFonts w:ascii="Arial" w:hAnsi="Arial" w:cs="Arial"/>
          <w:b/>
          <w:bCs/>
        </w:rPr>
        <w:t>Bernard Geyer et Martin Sauvage</w:t>
      </w:r>
    </w:p>
    <w:p w14:paraId="2F746EFE" w14:textId="4C4F0C3B" w:rsidR="00376510" w:rsidRPr="00EE13F2" w:rsidRDefault="000E5AAE" w:rsidP="00EE13F2">
      <w:pPr>
        <w:spacing w:after="120" w:line="240" w:lineRule="auto"/>
        <w:rPr>
          <w:rFonts w:ascii="Arial" w:hAnsi="Arial" w:cs="Arial"/>
        </w:rPr>
      </w:pPr>
      <w:r w:rsidRPr="000E5AAE">
        <w:rPr>
          <w:rFonts w:ascii="Arial" w:hAnsi="Arial" w:cs="Arial"/>
        </w:rPr>
        <w:t>La basse Mésopotamie est une vaste plaine monotone, large de plus de</w:t>
      </w:r>
      <w:r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200 km et caractérisée par une pente très faible (de l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>ordre de 0,005 % en</w:t>
      </w:r>
      <w:r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moyenne), d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>où seuls émergent les tells archéologiques et les levées de berge</w:t>
      </w:r>
      <w:r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des deux grands fleuves qui la parcourent, le Tigre et l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>Euphrate. Elle occupe</w:t>
      </w:r>
      <w:r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une « gouttière » d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>origine tectonique (voir aussi la carte « La géologie et la</w:t>
      </w:r>
      <w:r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tectonique du Proche et du Moyen-Orient ») qui accueille le delta intérieur</w:t>
      </w:r>
      <w:r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des fleuves, vaste espace où les deux cours d’eau se divisent en de multiples</w:t>
      </w:r>
      <w:r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bras avant de se perdre pour partie dans des marais puis de se rejoindre en</w:t>
      </w:r>
      <w:r w:rsidR="002832CB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un cours unique : le Shatt al-Arab qui débouche dans le golfe Persique.</w:t>
      </w:r>
      <w:r w:rsidR="002832CB" w:rsidRPr="00EE13F2">
        <w:rPr>
          <w:rFonts w:ascii="Arial" w:hAnsi="Arial" w:cs="Arial"/>
        </w:rPr>
        <w:t xml:space="preserve"> </w:t>
      </w:r>
    </w:p>
    <w:p w14:paraId="7C9F7C98" w14:textId="3218940D" w:rsidR="000E5AAE" w:rsidRPr="000E5AAE" w:rsidRDefault="000E5AAE" w:rsidP="00EE13F2">
      <w:pPr>
        <w:spacing w:after="120" w:line="240" w:lineRule="auto"/>
        <w:rPr>
          <w:rFonts w:ascii="Arial" w:hAnsi="Arial" w:cs="Arial"/>
        </w:rPr>
      </w:pPr>
      <w:r w:rsidRPr="000E5AAE">
        <w:rPr>
          <w:rFonts w:ascii="Arial" w:hAnsi="Arial" w:cs="Arial"/>
        </w:rPr>
        <w:t>La région a connu, depuis la fin du Pléistocène et les débuts de l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>Holocène, et</w:t>
      </w:r>
      <w:r w:rsidR="002832CB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du fait de sa très faible altitude (± 5 m à Nasiriyah, à 200 km de la côte</w:t>
      </w:r>
      <w:r w:rsidR="002832CB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actuelle du Golfe), des modifications paysagères remarquables, ainsi que</w:t>
      </w:r>
      <w:r w:rsidR="002832CB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des déplacements importants de la ligne de rivage du golfe, liés essentiellement</w:t>
      </w:r>
      <w:r w:rsidR="002832CB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aux mouvements relatifs verticaux de la mer, mais aussi aux apports</w:t>
      </w:r>
      <w:r w:rsidR="002832CB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sédimentaires des deux fleuves qui ont peu à peu comblé le delta intérieur.</w:t>
      </w:r>
    </w:p>
    <w:p w14:paraId="4E4C27F3" w14:textId="6B2CB63E" w:rsidR="000E5AAE" w:rsidRPr="000E5AAE" w:rsidRDefault="000E5AAE" w:rsidP="00EE13F2">
      <w:pPr>
        <w:spacing w:after="120" w:line="240" w:lineRule="auto"/>
        <w:rPr>
          <w:rFonts w:ascii="Arial" w:hAnsi="Arial" w:cs="Arial"/>
        </w:rPr>
      </w:pPr>
      <w:r w:rsidRPr="000E5AAE">
        <w:rPr>
          <w:rFonts w:ascii="Arial" w:hAnsi="Arial" w:cs="Arial"/>
        </w:rPr>
        <w:t>L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>histoire récente des paysages de la basse Mésopotamie commence au</w:t>
      </w:r>
      <w:r w:rsidR="00376510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Tardiglaciaire (entre 16000 et 11000 av. J.-C. ; toutes les datations sont ici</w:t>
      </w:r>
      <w:r w:rsidR="00376510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calibrées), qui voit se produire la première phase de forte fonte des glaces</w:t>
      </w:r>
      <w:r w:rsidR="00EE6FE0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des inlandsis. Le niveau marin, qui se trouvait encore à − 100 m vers 13000</w:t>
      </w:r>
      <w:r w:rsidR="00EE6FE0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av. J.-C., connaît une remontée rapide jusque vers 6000 av. J.-C. et pénètre</w:t>
      </w:r>
      <w:r w:rsidR="00EE6FE0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peu à peu à l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>intérieur des terres (vers 5600 av. J.-C.). C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>est à la fin de</w:t>
      </w:r>
      <w:r w:rsidR="00EE6FE0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la période d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>Obeid 4 (5300-3900 av. J.-C.) que, vers 4000 av. J.-C. ou peu</w:t>
      </w:r>
      <w:r w:rsidR="00EE6FE0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avant, cette transgression s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>achève par un haut niveau à + 1 ou 2 m au-dessus</w:t>
      </w:r>
      <w:r w:rsidR="00EE6FE0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du niveau marin actuel et par une avancée maximale des eaux à l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>intérieur</w:t>
      </w:r>
      <w:r w:rsidR="00EE6FE0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des terres. Au IIIe millénaire, la plaine alluviale se situerait vers – 1 m et</w:t>
      </w:r>
      <w:r w:rsidR="00EE6FE0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les villes sumériennes, Ur et Eridu, alors en bord de mer, sont très</w:t>
      </w:r>
      <w:r w:rsidR="00EE6FE0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probablement des ports (vers 2500-2100 av. J.-C.). Transgression et avancée</w:t>
      </w:r>
      <w:r w:rsidR="00EE6FE0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des eaux ont provoqué une rapide progradation deltaïque vers le sud qui aura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pour conséquence de repousser le trait de côte à peu près à son emplacement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actuel, probablement au début du Ier millénaire. Bien évidemment ce tracé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littoral connaîtra encore par la suite des oscillations, mais elles seront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mineures avec, par exemple, un léger retrait des eaux à l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>époque hellénistique,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qui a eu pour conséquence une ligne de rivage située un peu au sud de la côte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actuelle (carte pour l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>époque séleucide), ou au contraire une avancée, certes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peu marquée et due surtout à des phénomènes de subsidence, à l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>époque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médiévale, qui génère un trait de côte en léger recul et le développement de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marais intérieurs. Il s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 xml:space="preserve">agit probablement du </w:t>
      </w:r>
      <w:r w:rsidRPr="000E5AAE">
        <w:rPr>
          <w:rFonts w:ascii="Arial" w:hAnsi="Arial" w:cs="Arial"/>
          <w:i/>
          <w:iCs/>
        </w:rPr>
        <w:t xml:space="preserve">Great Swamp </w:t>
      </w:r>
      <w:r w:rsidRPr="000E5AAE">
        <w:rPr>
          <w:rFonts w:ascii="Arial" w:hAnsi="Arial" w:cs="Arial"/>
        </w:rPr>
        <w:t>signalé par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Le Strange (1905) et qui aurait subsisté au moins localement jusqu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>à l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>époque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moderne.</w:t>
      </w:r>
    </w:p>
    <w:p w14:paraId="56F4F53E" w14:textId="5E275071" w:rsidR="000E5AAE" w:rsidRDefault="000E5AAE" w:rsidP="00EE13F2">
      <w:pPr>
        <w:spacing w:after="120" w:line="240" w:lineRule="auto"/>
        <w:rPr>
          <w:rFonts w:ascii="Arial" w:hAnsi="Arial" w:cs="Arial"/>
        </w:rPr>
      </w:pPr>
      <w:r w:rsidRPr="000E5AAE">
        <w:rPr>
          <w:rFonts w:ascii="Arial" w:hAnsi="Arial" w:cs="Arial"/>
        </w:rPr>
        <w:t>Concernant les variations du cours du Tigre, de l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>Euphrate et de leurs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différents bras ainsi que celles des canaux majeurs, les prospections de surface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ou par photographie aérienne ou satellitaire ne permettent pas de les dater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précisément. Les cours anciens représentés ici ont principalement été tracés à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partir de la localisation et de la datation de sites fouillés (dont, pour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une grande partie, nous connaissons le nom ancien) ou prospectés, sites dont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on suppose qu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>ils étaient placés le long des cours d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>eau. Pour les périodes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historiques, à partir du IIIe millénaire, les textes documentent en partie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les relations spatiales des villes les unes par rapport aux autres en fonction de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leur placement près des cours d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>eau et des canaux. Il est ainsi possible de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proposer des hypothèses, susceptibles d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>être remises en cause dans l</w:t>
      </w:r>
      <w:r w:rsidR="00195F94" w:rsidRPr="00EE13F2">
        <w:rPr>
          <w:rFonts w:ascii="Arial" w:hAnsi="Arial" w:cs="Arial"/>
        </w:rPr>
        <w:t>’</w:t>
      </w:r>
      <w:r w:rsidRPr="000E5AAE">
        <w:rPr>
          <w:rFonts w:ascii="Arial" w:hAnsi="Arial" w:cs="Arial"/>
        </w:rPr>
        <w:t>avenir, de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reconstitution du réseau fluvial de la basse Mésopotamie aux différentes</w:t>
      </w:r>
      <w:r w:rsidR="00AB4697" w:rsidRPr="00EE13F2">
        <w:rPr>
          <w:rFonts w:ascii="Arial" w:hAnsi="Arial" w:cs="Arial"/>
        </w:rPr>
        <w:t xml:space="preserve"> </w:t>
      </w:r>
      <w:r w:rsidRPr="000E5AAE">
        <w:rPr>
          <w:rFonts w:ascii="Arial" w:hAnsi="Arial" w:cs="Arial"/>
        </w:rPr>
        <w:t>époques historiques. Pour les périodes protohistoriques, nous nous sommes</w:t>
      </w:r>
      <w:r w:rsidR="00AB4697" w:rsidRPr="00EE13F2">
        <w:rPr>
          <w:rFonts w:ascii="Arial" w:hAnsi="Arial" w:cs="Arial"/>
        </w:rPr>
        <w:t xml:space="preserve"> </w:t>
      </w:r>
      <w:r w:rsidRPr="00EE13F2">
        <w:rPr>
          <w:rFonts w:ascii="Arial" w:hAnsi="Arial" w:cs="Arial"/>
        </w:rPr>
        <w:t>donc limités aux variations de la côte du golfe Persique.</w:t>
      </w:r>
    </w:p>
    <w:p w14:paraId="338E98FB" w14:textId="77777777" w:rsidR="000707C6" w:rsidRDefault="000707C6" w:rsidP="00EE13F2">
      <w:pPr>
        <w:spacing w:after="120" w:line="240" w:lineRule="auto"/>
        <w:rPr>
          <w:rFonts w:ascii="Arial" w:hAnsi="Arial" w:cs="Arial"/>
        </w:rPr>
      </w:pPr>
    </w:p>
    <w:p w14:paraId="217CBEE6" w14:textId="7C4B0C73" w:rsidR="000707C6" w:rsidRPr="00D76E94" w:rsidRDefault="00D76E94" w:rsidP="00EE13F2">
      <w:pPr>
        <w:spacing w:after="120" w:line="240" w:lineRule="auto"/>
        <w:rPr>
          <w:rFonts w:ascii="Arial" w:hAnsi="Arial" w:cs="Arial"/>
        </w:rPr>
      </w:pPr>
      <w:r w:rsidRPr="00D76E94">
        <w:rPr>
          <w:rFonts w:ascii="Arial" w:hAnsi="Arial" w:cs="Arial"/>
          <w:highlight w:val="yellow"/>
        </w:rPr>
        <w:t>Quid de ce</w:t>
      </w:r>
      <w:r w:rsidR="000707C6" w:rsidRPr="00D76E94">
        <w:rPr>
          <w:rFonts w:ascii="Arial" w:hAnsi="Arial" w:cs="Arial"/>
          <w:highlight w:val="yellow"/>
        </w:rPr>
        <w:t xml:space="preserve"> </w:t>
      </w:r>
      <w:r w:rsidR="00AD22AE" w:rsidRPr="00D76E94">
        <w:rPr>
          <w:rFonts w:ascii="Arial" w:hAnsi="Arial" w:cs="Arial"/>
          <w:highlight w:val="yellow"/>
        </w:rPr>
        <w:t>“</w:t>
      </w:r>
      <w:r w:rsidR="000707C6" w:rsidRPr="00D76E94">
        <w:rPr>
          <w:rFonts w:ascii="Arial" w:hAnsi="Arial" w:cs="Arial"/>
          <w:highlight w:val="yellow"/>
        </w:rPr>
        <w:t>Zubair sill” mention</w:t>
      </w:r>
      <w:r w:rsidRPr="00D76E94">
        <w:rPr>
          <w:rFonts w:ascii="Arial" w:hAnsi="Arial" w:cs="Arial"/>
          <w:highlight w:val="yellow"/>
        </w:rPr>
        <w:t xml:space="preserve">né </w:t>
      </w:r>
      <w:r w:rsidR="00F2641A">
        <w:rPr>
          <w:rFonts w:ascii="Arial" w:hAnsi="Arial" w:cs="Arial"/>
          <w:highlight w:val="yellow"/>
        </w:rPr>
        <w:t xml:space="preserve">seulement </w:t>
      </w:r>
      <w:r w:rsidRPr="00D76E94">
        <w:rPr>
          <w:rFonts w:ascii="Arial" w:hAnsi="Arial" w:cs="Arial"/>
          <w:highlight w:val="yellow"/>
        </w:rPr>
        <w:t>par</w:t>
      </w:r>
      <w:r w:rsidR="000707C6" w:rsidRPr="00D76E94">
        <w:rPr>
          <w:rFonts w:ascii="Arial" w:hAnsi="Arial" w:cs="Arial"/>
          <w:highlight w:val="yellow"/>
        </w:rPr>
        <w:t xml:space="preserve"> </w:t>
      </w:r>
      <w:r w:rsidR="00AD22AE" w:rsidRPr="00D76E94">
        <w:rPr>
          <w:rFonts w:ascii="Arial" w:hAnsi="Arial" w:cs="Arial"/>
          <w:highlight w:val="yellow"/>
        </w:rPr>
        <w:t>P</w:t>
      </w:r>
      <w:r w:rsidR="000707C6" w:rsidRPr="00D76E94">
        <w:rPr>
          <w:rFonts w:ascii="Arial" w:hAnsi="Arial" w:cs="Arial"/>
          <w:highlight w:val="yellow"/>
        </w:rPr>
        <w:t>ournelle (2003</w:t>
      </w:r>
      <w:r w:rsidR="00152AE6">
        <w:rPr>
          <w:rFonts w:ascii="Arial" w:hAnsi="Arial" w:cs="Arial"/>
          <w:highlight w:val="yellow"/>
        </w:rPr>
        <w:t> : 70, fig 8</w:t>
      </w:r>
      <w:r w:rsidR="000707C6" w:rsidRPr="00D76E94">
        <w:rPr>
          <w:rFonts w:ascii="Arial" w:hAnsi="Arial" w:cs="Arial"/>
          <w:highlight w:val="yellow"/>
        </w:rPr>
        <w:t>)</w:t>
      </w:r>
      <w:r w:rsidR="00AD22AE" w:rsidRPr="00D76E94">
        <w:rPr>
          <w:rFonts w:ascii="Arial" w:hAnsi="Arial" w:cs="Arial"/>
          <w:highlight w:val="yellow"/>
        </w:rPr>
        <w:t xml:space="preserve"> ??</w:t>
      </w:r>
    </w:p>
    <w:p w14:paraId="2AEEACAA" w14:textId="63E38434" w:rsidR="00EE13F2" w:rsidRPr="00D76E94" w:rsidRDefault="00EE13F2">
      <w:pPr>
        <w:rPr>
          <w:rFonts w:ascii="Arial" w:hAnsi="Arial" w:cs="Arial"/>
        </w:rPr>
      </w:pPr>
      <w:r w:rsidRPr="00D76E94">
        <w:rPr>
          <w:rFonts w:ascii="Arial" w:hAnsi="Arial" w:cs="Arial"/>
        </w:rPr>
        <w:br w:type="page"/>
      </w:r>
    </w:p>
    <w:p w14:paraId="0BC0E76B" w14:textId="77777777" w:rsidR="002413EB" w:rsidRPr="00EE13F2" w:rsidRDefault="001D044E" w:rsidP="00EE13F2">
      <w:pPr>
        <w:spacing w:after="120" w:line="240" w:lineRule="auto"/>
        <w:rPr>
          <w:rFonts w:ascii="Arial" w:hAnsi="Arial" w:cs="Arial"/>
        </w:rPr>
      </w:pPr>
      <w:r w:rsidRPr="00EE13F2">
        <w:rPr>
          <w:rFonts w:ascii="Arial" w:hAnsi="Arial" w:cs="Arial"/>
          <w:b/>
          <w:bCs/>
        </w:rPr>
        <w:lastRenderedPageBreak/>
        <w:t>Sources des cartes</w:t>
      </w:r>
      <w:r w:rsidRPr="00EE13F2">
        <w:rPr>
          <w:rFonts w:ascii="Arial" w:hAnsi="Arial" w:cs="Arial"/>
        </w:rPr>
        <w:t xml:space="preserve"> : </w:t>
      </w:r>
    </w:p>
    <w:p w14:paraId="3A384393" w14:textId="0B4907F7" w:rsidR="001D044E" w:rsidRPr="00EE13F2" w:rsidRDefault="001D044E" w:rsidP="00EE13F2">
      <w:pPr>
        <w:spacing w:after="120" w:line="240" w:lineRule="auto"/>
        <w:rPr>
          <w:rFonts w:ascii="Arial" w:hAnsi="Arial" w:cs="Arial"/>
        </w:rPr>
      </w:pPr>
      <w:r w:rsidRPr="00EE13F2">
        <w:rPr>
          <w:rFonts w:ascii="Arial" w:hAnsi="Arial" w:cs="Arial"/>
          <w:i/>
          <w:iCs/>
        </w:rPr>
        <w:t xml:space="preserve">6000 av. J.-C. et 5600 av. J.-C. : </w:t>
      </w:r>
      <w:r w:rsidRPr="00EE13F2">
        <w:rPr>
          <w:rFonts w:ascii="Arial" w:hAnsi="Arial" w:cs="Arial"/>
        </w:rPr>
        <w:t>côtes d</w:t>
      </w:r>
      <w:r w:rsidR="002413EB" w:rsidRPr="00EE13F2">
        <w:rPr>
          <w:rFonts w:ascii="Arial" w:hAnsi="Arial" w:cs="Arial"/>
        </w:rPr>
        <w:t>’</w:t>
      </w:r>
      <w:r w:rsidRPr="00EE13F2">
        <w:rPr>
          <w:rFonts w:ascii="Arial" w:hAnsi="Arial" w:cs="Arial"/>
        </w:rPr>
        <w:t>après Sanlaville</w:t>
      </w:r>
      <w:r w:rsidR="002413EB" w:rsidRPr="00EE13F2">
        <w:rPr>
          <w:rFonts w:ascii="Arial" w:hAnsi="Arial" w:cs="Arial"/>
        </w:rPr>
        <w:t xml:space="preserve"> </w:t>
      </w:r>
      <w:r w:rsidRPr="00EE13F2">
        <w:rPr>
          <w:rFonts w:ascii="Arial" w:hAnsi="Arial" w:cs="Arial"/>
        </w:rPr>
        <w:t xml:space="preserve">1989 et 2002, et Pournelle 2003 </w:t>
      </w:r>
      <w:r w:rsidR="002413EB" w:rsidRPr="00EE13F2">
        <w:rPr>
          <w:rFonts w:ascii="Arial" w:hAnsi="Arial" w:cs="Arial"/>
        </w:rPr>
        <w:br/>
      </w:r>
      <w:r w:rsidRPr="00EE13F2">
        <w:rPr>
          <w:rFonts w:ascii="Arial" w:hAnsi="Arial" w:cs="Arial"/>
          <w:i/>
          <w:iCs/>
        </w:rPr>
        <w:t xml:space="preserve">4000 av. J.-C. </w:t>
      </w:r>
      <w:r w:rsidRPr="00EE13F2">
        <w:rPr>
          <w:rFonts w:ascii="Arial" w:hAnsi="Arial" w:cs="Arial"/>
        </w:rPr>
        <w:t>: côtes d</w:t>
      </w:r>
      <w:r w:rsidR="002413EB" w:rsidRPr="00EE13F2">
        <w:rPr>
          <w:rFonts w:ascii="Arial" w:hAnsi="Arial" w:cs="Arial"/>
        </w:rPr>
        <w:t>’</w:t>
      </w:r>
      <w:r w:rsidRPr="00EE13F2">
        <w:rPr>
          <w:rFonts w:ascii="Arial" w:hAnsi="Arial" w:cs="Arial"/>
        </w:rPr>
        <w:t>après Sanlaville</w:t>
      </w:r>
      <w:r w:rsidR="002413EB" w:rsidRPr="00EE13F2">
        <w:rPr>
          <w:rFonts w:ascii="Arial" w:hAnsi="Arial" w:cs="Arial"/>
        </w:rPr>
        <w:t xml:space="preserve"> </w:t>
      </w:r>
      <w:r w:rsidRPr="00EE13F2">
        <w:rPr>
          <w:rFonts w:ascii="Arial" w:hAnsi="Arial" w:cs="Arial"/>
        </w:rPr>
        <w:t xml:space="preserve">1989 et 2002, Geyer et Sanlaville 1996 et Pournelle 2003 </w:t>
      </w:r>
      <w:r w:rsidR="00D40000" w:rsidRPr="00EE13F2">
        <w:rPr>
          <w:rFonts w:ascii="Arial" w:hAnsi="Arial" w:cs="Arial"/>
        </w:rPr>
        <w:br/>
      </w:r>
      <w:r w:rsidRPr="00EE13F2">
        <w:rPr>
          <w:rFonts w:ascii="Arial" w:hAnsi="Arial" w:cs="Arial"/>
          <w:i/>
          <w:iCs/>
        </w:rPr>
        <w:t>2500-2100 av. J.-</w:t>
      </w:r>
      <w:r w:rsidR="002413EB" w:rsidRPr="00EE13F2">
        <w:rPr>
          <w:rFonts w:ascii="Arial" w:hAnsi="Arial" w:cs="Arial"/>
          <w:i/>
          <w:iCs/>
        </w:rPr>
        <w:t xml:space="preserve"> </w:t>
      </w:r>
      <w:r w:rsidRPr="00EE13F2">
        <w:rPr>
          <w:rFonts w:ascii="Arial" w:hAnsi="Arial" w:cs="Arial"/>
          <w:i/>
          <w:iCs/>
        </w:rPr>
        <w:t xml:space="preserve">C. </w:t>
      </w:r>
      <w:r w:rsidRPr="00EE13F2">
        <w:rPr>
          <w:rFonts w:ascii="Arial" w:hAnsi="Arial" w:cs="Arial"/>
        </w:rPr>
        <w:t>: d</w:t>
      </w:r>
      <w:r w:rsidR="00D40000" w:rsidRPr="00EE13F2">
        <w:rPr>
          <w:rFonts w:ascii="Arial" w:hAnsi="Arial" w:cs="Arial"/>
        </w:rPr>
        <w:t>’</w:t>
      </w:r>
      <w:r w:rsidRPr="00EE13F2">
        <w:rPr>
          <w:rFonts w:ascii="Arial" w:hAnsi="Arial" w:cs="Arial"/>
        </w:rPr>
        <w:t xml:space="preserve">après Lecompte 2009 et Sallaberger et Schrakamp 2015 </w:t>
      </w:r>
      <w:r w:rsidR="00D40000" w:rsidRPr="00EE13F2">
        <w:rPr>
          <w:rFonts w:ascii="Arial" w:hAnsi="Arial" w:cs="Arial"/>
        </w:rPr>
        <w:br/>
      </w:r>
      <w:r w:rsidRPr="00EE13F2">
        <w:rPr>
          <w:rFonts w:ascii="Arial" w:hAnsi="Arial" w:cs="Arial"/>
          <w:i/>
          <w:iCs/>
        </w:rPr>
        <w:t>2000-1800</w:t>
      </w:r>
      <w:r w:rsidR="002413EB" w:rsidRPr="00EE13F2">
        <w:rPr>
          <w:rFonts w:ascii="Arial" w:hAnsi="Arial" w:cs="Arial"/>
          <w:i/>
          <w:iCs/>
        </w:rPr>
        <w:t xml:space="preserve"> </w:t>
      </w:r>
      <w:r w:rsidRPr="00EE13F2">
        <w:rPr>
          <w:rFonts w:ascii="Arial" w:hAnsi="Arial" w:cs="Arial"/>
          <w:i/>
          <w:iCs/>
        </w:rPr>
        <w:t xml:space="preserve">av. J.-C. </w:t>
      </w:r>
      <w:r w:rsidRPr="00EE13F2">
        <w:rPr>
          <w:rFonts w:ascii="Arial" w:hAnsi="Arial" w:cs="Arial"/>
        </w:rPr>
        <w:t>: d</w:t>
      </w:r>
      <w:r w:rsidR="00D40000" w:rsidRPr="00EE13F2">
        <w:rPr>
          <w:rFonts w:ascii="Arial" w:hAnsi="Arial" w:cs="Arial"/>
        </w:rPr>
        <w:t>’</w:t>
      </w:r>
      <w:r w:rsidRPr="00EE13F2">
        <w:rPr>
          <w:rFonts w:ascii="Arial" w:hAnsi="Arial" w:cs="Arial"/>
        </w:rPr>
        <w:t xml:space="preserve">après Roaf 1990 </w:t>
      </w:r>
      <w:r w:rsidR="00AB3FEC" w:rsidRPr="00EE13F2">
        <w:rPr>
          <w:rFonts w:ascii="Arial" w:hAnsi="Arial" w:cs="Arial"/>
        </w:rPr>
        <w:br/>
      </w:r>
      <w:r w:rsidRPr="00EE13F2">
        <w:rPr>
          <w:rFonts w:ascii="Arial" w:hAnsi="Arial" w:cs="Arial"/>
          <w:i/>
          <w:iCs/>
        </w:rPr>
        <w:t xml:space="preserve">1500-1300 av. J.-C. </w:t>
      </w:r>
      <w:r w:rsidRPr="00EE13F2">
        <w:rPr>
          <w:rFonts w:ascii="Arial" w:hAnsi="Arial" w:cs="Arial"/>
        </w:rPr>
        <w:t>: d</w:t>
      </w:r>
      <w:r w:rsidR="00AB3FEC" w:rsidRPr="00EE13F2">
        <w:rPr>
          <w:rFonts w:ascii="Arial" w:hAnsi="Arial" w:cs="Arial"/>
        </w:rPr>
        <w:t>’</w:t>
      </w:r>
      <w:r w:rsidRPr="00EE13F2">
        <w:rPr>
          <w:rFonts w:ascii="Arial" w:hAnsi="Arial" w:cs="Arial"/>
        </w:rPr>
        <w:t>après Roaf 1990 et</w:t>
      </w:r>
      <w:r w:rsidR="002413EB" w:rsidRPr="00EE13F2">
        <w:rPr>
          <w:rFonts w:ascii="Arial" w:hAnsi="Arial" w:cs="Arial"/>
        </w:rPr>
        <w:t xml:space="preserve"> </w:t>
      </w:r>
      <w:r w:rsidRPr="00EE13F2">
        <w:rPr>
          <w:rFonts w:ascii="Arial" w:hAnsi="Arial" w:cs="Arial"/>
        </w:rPr>
        <w:t xml:space="preserve">Djabellaoui 2020 </w:t>
      </w:r>
      <w:r w:rsidR="00AB3FEC" w:rsidRPr="00EE13F2">
        <w:rPr>
          <w:rFonts w:ascii="Arial" w:hAnsi="Arial" w:cs="Arial"/>
        </w:rPr>
        <w:br/>
      </w:r>
      <w:r w:rsidRPr="00EE13F2">
        <w:rPr>
          <w:rFonts w:ascii="Arial" w:hAnsi="Arial" w:cs="Arial"/>
          <w:i/>
          <w:iCs/>
        </w:rPr>
        <w:t xml:space="preserve">1100-800 av. J.-C. : </w:t>
      </w:r>
      <w:r w:rsidRPr="00EE13F2">
        <w:rPr>
          <w:rFonts w:ascii="Arial" w:hAnsi="Arial" w:cs="Arial"/>
        </w:rPr>
        <w:t>d</w:t>
      </w:r>
      <w:r w:rsidR="00AB3FEC" w:rsidRPr="00EE13F2">
        <w:rPr>
          <w:rFonts w:ascii="Arial" w:hAnsi="Arial" w:cs="Arial"/>
        </w:rPr>
        <w:t>’</w:t>
      </w:r>
      <w:r w:rsidRPr="00EE13F2">
        <w:rPr>
          <w:rFonts w:ascii="Arial" w:hAnsi="Arial" w:cs="Arial"/>
        </w:rPr>
        <w:t xml:space="preserve">après Djabellaoui 2020 </w:t>
      </w:r>
      <w:r w:rsidR="00AB3FEC" w:rsidRPr="00EE13F2">
        <w:rPr>
          <w:rFonts w:ascii="Arial" w:hAnsi="Arial" w:cs="Arial"/>
        </w:rPr>
        <w:br/>
      </w:r>
      <w:r w:rsidRPr="00EE13F2">
        <w:rPr>
          <w:rFonts w:ascii="Arial" w:hAnsi="Arial" w:cs="Arial"/>
          <w:i/>
          <w:iCs/>
        </w:rPr>
        <w:t>750-</w:t>
      </w:r>
      <w:r w:rsidR="002413EB" w:rsidRPr="00EE13F2">
        <w:rPr>
          <w:rFonts w:ascii="Arial" w:hAnsi="Arial" w:cs="Arial"/>
          <w:i/>
          <w:iCs/>
        </w:rPr>
        <w:t xml:space="preserve"> </w:t>
      </w:r>
      <w:r w:rsidRPr="00EE13F2">
        <w:rPr>
          <w:rFonts w:ascii="Arial" w:hAnsi="Arial" w:cs="Arial"/>
          <w:i/>
          <w:iCs/>
        </w:rPr>
        <w:t xml:space="preserve">550 av. J.-C. : </w:t>
      </w:r>
      <w:r w:rsidRPr="00EE13F2">
        <w:rPr>
          <w:rFonts w:ascii="Arial" w:hAnsi="Arial" w:cs="Arial"/>
        </w:rPr>
        <w:t>d</w:t>
      </w:r>
      <w:r w:rsidR="00AB3FEC" w:rsidRPr="00EE13F2">
        <w:rPr>
          <w:rFonts w:ascii="Arial" w:hAnsi="Arial" w:cs="Arial"/>
        </w:rPr>
        <w:t>’</w:t>
      </w:r>
      <w:r w:rsidRPr="00EE13F2">
        <w:rPr>
          <w:rFonts w:ascii="Arial" w:hAnsi="Arial" w:cs="Arial"/>
        </w:rPr>
        <w:t xml:space="preserve">après TAVO B IV 13 et F. Joannès </w:t>
      </w:r>
      <w:r w:rsidRPr="00EE13F2">
        <w:rPr>
          <w:rFonts w:ascii="Arial" w:hAnsi="Arial" w:cs="Arial"/>
          <w:i/>
          <w:iCs/>
        </w:rPr>
        <w:t xml:space="preserve">in </w:t>
      </w:r>
      <w:r w:rsidRPr="00EE13F2">
        <w:rPr>
          <w:rFonts w:ascii="Arial" w:hAnsi="Arial" w:cs="Arial"/>
        </w:rPr>
        <w:t xml:space="preserve">Lafont </w:t>
      </w:r>
      <w:r w:rsidRPr="00EE13F2">
        <w:rPr>
          <w:rFonts w:ascii="Arial" w:hAnsi="Arial" w:cs="Arial"/>
          <w:i/>
          <w:iCs/>
        </w:rPr>
        <w:t xml:space="preserve">et al. </w:t>
      </w:r>
      <w:r w:rsidRPr="00EE13F2">
        <w:rPr>
          <w:rFonts w:ascii="Arial" w:hAnsi="Arial" w:cs="Arial"/>
        </w:rPr>
        <w:t>2017,</w:t>
      </w:r>
      <w:r w:rsidR="002413EB" w:rsidRPr="00EE13F2">
        <w:rPr>
          <w:rFonts w:ascii="Arial" w:hAnsi="Arial" w:cs="Arial"/>
        </w:rPr>
        <w:t xml:space="preserve"> </w:t>
      </w:r>
      <w:r w:rsidRPr="00EE13F2">
        <w:rPr>
          <w:rFonts w:ascii="Arial" w:hAnsi="Arial" w:cs="Arial"/>
        </w:rPr>
        <w:t xml:space="preserve">p. 886 </w:t>
      </w:r>
      <w:r w:rsidR="00AB3FEC" w:rsidRPr="00EE13F2">
        <w:rPr>
          <w:rFonts w:ascii="Arial" w:hAnsi="Arial" w:cs="Arial"/>
        </w:rPr>
        <w:br/>
      </w:r>
      <w:r w:rsidRPr="00EE13F2">
        <w:rPr>
          <w:rFonts w:ascii="Arial" w:hAnsi="Arial" w:cs="Arial"/>
          <w:i/>
          <w:iCs/>
        </w:rPr>
        <w:t xml:space="preserve">VIe-IVe s. av. J.-C. : </w:t>
      </w:r>
      <w:r w:rsidRPr="00EE13F2">
        <w:rPr>
          <w:rFonts w:ascii="Arial" w:hAnsi="Arial" w:cs="Arial"/>
        </w:rPr>
        <w:t>d</w:t>
      </w:r>
      <w:r w:rsidR="00AB3FEC" w:rsidRPr="00EE13F2">
        <w:rPr>
          <w:rFonts w:ascii="Arial" w:hAnsi="Arial" w:cs="Arial"/>
        </w:rPr>
        <w:t>’</w:t>
      </w:r>
      <w:r w:rsidRPr="00EE13F2">
        <w:rPr>
          <w:rFonts w:ascii="Arial" w:hAnsi="Arial" w:cs="Arial"/>
        </w:rPr>
        <w:t>après TAVO B IV 22 (sauf côtes : TAVO B IV</w:t>
      </w:r>
      <w:r w:rsidR="002413EB" w:rsidRPr="00EE13F2">
        <w:rPr>
          <w:rFonts w:ascii="Arial" w:hAnsi="Arial" w:cs="Arial"/>
        </w:rPr>
        <w:t xml:space="preserve"> </w:t>
      </w:r>
      <w:r w:rsidRPr="00EE13F2">
        <w:rPr>
          <w:rFonts w:ascii="Arial" w:hAnsi="Arial" w:cs="Arial"/>
        </w:rPr>
        <w:t xml:space="preserve">13) </w:t>
      </w:r>
      <w:r w:rsidR="00AB3FEC" w:rsidRPr="00EE13F2">
        <w:rPr>
          <w:rFonts w:ascii="Arial" w:hAnsi="Arial" w:cs="Arial"/>
        </w:rPr>
        <w:br/>
      </w:r>
      <w:r w:rsidRPr="00EE13F2">
        <w:rPr>
          <w:rFonts w:ascii="Arial" w:hAnsi="Arial" w:cs="Arial"/>
          <w:i/>
          <w:iCs/>
        </w:rPr>
        <w:t xml:space="preserve">Époque séleucide : </w:t>
      </w:r>
      <w:r w:rsidRPr="00EE13F2">
        <w:rPr>
          <w:rFonts w:ascii="Arial" w:hAnsi="Arial" w:cs="Arial"/>
        </w:rPr>
        <w:t>côtes d</w:t>
      </w:r>
      <w:r w:rsidR="00AB3FEC" w:rsidRPr="00EE13F2">
        <w:rPr>
          <w:rFonts w:ascii="Arial" w:hAnsi="Arial" w:cs="Arial"/>
        </w:rPr>
        <w:t>’</w:t>
      </w:r>
      <w:r w:rsidRPr="00EE13F2">
        <w:rPr>
          <w:rFonts w:ascii="Arial" w:hAnsi="Arial" w:cs="Arial"/>
        </w:rPr>
        <w:t>après Sanlaville 2002, sites et cours d</w:t>
      </w:r>
      <w:r w:rsidR="00AB3FEC" w:rsidRPr="00EE13F2">
        <w:rPr>
          <w:rFonts w:ascii="Arial" w:hAnsi="Arial" w:cs="Arial"/>
        </w:rPr>
        <w:t>’</w:t>
      </w:r>
      <w:r w:rsidRPr="00EE13F2">
        <w:rPr>
          <w:rFonts w:ascii="Arial" w:hAnsi="Arial" w:cs="Arial"/>
        </w:rPr>
        <w:t>eau</w:t>
      </w:r>
      <w:r w:rsidR="002413EB" w:rsidRPr="00EE13F2">
        <w:rPr>
          <w:rFonts w:ascii="Arial" w:hAnsi="Arial" w:cs="Arial"/>
        </w:rPr>
        <w:t xml:space="preserve"> </w:t>
      </w:r>
      <w:r w:rsidRPr="00EE13F2">
        <w:rPr>
          <w:rFonts w:ascii="Arial" w:hAnsi="Arial" w:cs="Arial"/>
        </w:rPr>
        <w:t>d</w:t>
      </w:r>
      <w:r w:rsidR="002B62C0" w:rsidRPr="00EE13F2">
        <w:rPr>
          <w:rFonts w:ascii="Arial" w:hAnsi="Arial" w:cs="Arial"/>
        </w:rPr>
        <w:t>’</w:t>
      </w:r>
      <w:r w:rsidRPr="00EE13F2">
        <w:rPr>
          <w:rFonts w:ascii="Arial" w:hAnsi="Arial" w:cs="Arial"/>
        </w:rPr>
        <w:t xml:space="preserve">après J. Monerie </w:t>
      </w:r>
      <w:r w:rsidRPr="00EE13F2">
        <w:rPr>
          <w:rFonts w:ascii="Arial" w:hAnsi="Arial" w:cs="Arial"/>
          <w:i/>
          <w:iCs/>
        </w:rPr>
        <w:t xml:space="preserve">in </w:t>
      </w:r>
      <w:r w:rsidRPr="00EE13F2">
        <w:rPr>
          <w:rFonts w:ascii="Arial" w:hAnsi="Arial" w:cs="Arial"/>
        </w:rPr>
        <w:t xml:space="preserve">Lafont </w:t>
      </w:r>
      <w:r w:rsidRPr="00EE13F2">
        <w:rPr>
          <w:rFonts w:ascii="Arial" w:hAnsi="Arial" w:cs="Arial"/>
          <w:i/>
          <w:iCs/>
        </w:rPr>
        <w:t xml:space="preserve">et al. </w:t>
      </w:r>
      <w:r w:rsidRPr="00EE13F2">
        <w:rPr>
          <w:rFonts w:ascii="Arial" w:hAnsi="Arial" w:cs="Arial"/>
        </w:rPr>
        <w:t xml:space="preserve">2017, p. 925 </w:t>
      </w:r>
      <w:r w:rsidR="002B62C0" w:rsidRPr="00EE13F2">
        <w:rPr>
          <w:rFonts w:ascii="Arial" w:hAnsi="Arial" w:cs="Arial"/>
        </w:rPr>
        <w:br/>
      </w:r>
      <w:r w:rsidRPr="00EE13F2">
        <w:rPr>
          <w:rFonts w:ascii="Arial" w:hAnsi="Arial" w:cs="Arial"/>
          <w:i/>
          <w:iCs/>
        </w:rPr>
        <w:t xml:space="preserve">Époque médiévale : </w:t>
      </w:r>
      <w:r w:rsidRPr="00EE13F2">
        <w:rPr>
          <w:rFonts w:ascii="Arial" w:hAnsi="Arial" w:cs="Arial"/>
        </w:rPr>
        <w:t>côtes</w:t>
      </w:r>
      <w:r w:rsidR="002413EB" w:rsidRPr="00EE13F2">
        <w:rPr>
          <w:rFonts w:ascii="Arial" w:hAnsi="Arial" w:cs="Arial"/>
        </w:rPr>
        <w:t xml:space="preserve"> </w:t>
      </w:r>
      <w:r w:rsidRPr="00EE13F2">
        <w:rPr>
          <w:rFonts w:ascii="Arial" w:hAnsi="Arial" w:cs="Arial"/>
        </w:rPr>
        <w:t>d</w:t>
      </w:r>
      <w:r w:rsidR="002B62C0" w:rsidRPr="00EE13F2">
        <w:rPr>
          <w:rFonts w:ascii="Arial" w:hAnsi="Arial" w:cs="Arial"/>
        </w:rPr>
        <w:t>’</w:t>
      </w:r>
      <w:r w:rsidRPr="00EE13F2">
        <w:rPr>
          <w:rFonts w:ascii="Arial" w:hAnsi="Arial" w:cs="Arial"/>
        </w:rPr>
        <w:t>après Sanlaville 2002.</w:t>
      </w:r>
    </w:p>
    <w:p w14:paraId="50A3A8E2" w14:textId="2365200C" w:rsidR="001D044E" w:rsidRPr="00EE13F2" w:rsidRDefault="001D044E" w:rsidP="00EE13F2">
      <w:pPr>
        <w:spacing w:after="120" w:line="240" w:lineRule="auto"/>
        <w:rPr>
          <w:rFonts w:ascii="Arial" w:hAnsi="Arial" w:cs="Arial"/>
          <w:b/>
          <w:bCs/>
        </w:rPr>
      </w:pPr>
      <w:r w:rsidRPr="00EE13F2">
        <w:rPr>
          <w:rFonts w:ascii="Arial" w:hAnsi="Arial" w:cs="Arial"/>
          <w:b/>
          <w:bCs/>
        </w:rPr>
        <w:t>Références</w:t>
      </w:r>
    </w:p>
    <w:p w14:paraId="4939D9D8" w14:textId="245613F5" w:rsidR="001D044E" w:rsidRPr="00EE13F2" w:rsidRDefault="001D044E" w:rsidP="00EE13F2">
      <w:pPr>
        <w:spacing w:after="120" w:line="240" w:lineRule="auto"/>
        <w:rPr>
          <w:rFonts w:ascii="Arial" w:hAnsi="Arial" w:cs="Arial"/>
        </w:rPr>
      </w:pPr>
      <w:r w:rsidRPr="00EE13F2">
        <w:rPr>
          <w:rFonts w:ascii="Arial" w:hAnsi="Arial" w:cs="Arial"/>
        </w:rPr>
        <w:t xml:space="preserve">DJABELLAOUI M., 2020, </w:t>
      </w:r>
      <w:r w:rsidRPr="00EE13F2">
        <w:rPr>
          <w:rFonts w:ascii="Arial" w:hAnsi="Arial" w:cs="Arial"/>
          <w:i/>
          <w:iCs/>
        </w:rPr>
        <w:t>Aspects d</w:t>
      </w:r>
      <w:r w:rsidR="00494394" w:rsidRPr="00EE13F2">
        <w:rPr>
          <w:rFonts w:ascii="Arial" w:hAnsi="Arial" w:cs="Arial"/>
          <w:i/>
          <w:iCs/>
        </w:rPr>
        <w:t>’</w:t>
      </w:r>
      <w:r w:rsidRPr="00EE13F2">
        <w:rPr>
          <w:rFonts w:ascii="Arial" w:hAnsi="Arial" w:cs="Arial"/>
          <w:i/>
          <w:iCs/>
        </w:rPr>
        <w:t>une géographie historique des Araméens et des</w:t>
      </w:r>
      <w:r w:rsidR="002B62C0" w:rsidRPr="00EE13F2">
        <w:rPr>
          <w:rFonts w:ascii="Arial" w:hAnsi="Arial" w:cs="Arial"/>
          <w:i/>
          <w:iCs/>
        </w:rPr>
        <w:t xml:space="preserve"> </w:t>
      </w:r>
      <w:r w:rsidRPr="00EE13F2">
        <w:rPr>
          <w:rFonts w:ascii="Arial" w:hAnsi="Arial" w:cs="Arial"/>
          <w:i/>
          <w:iCs/>
        </w:rPr>
        <w:t>Chaldéens en Babylonie (1022-647 av. J.-C.)</w:t>
      </w:r>
      <w:r w:rsidRPr="00EE13F2">
        <w:rPr>
          <w:rFonts w:ascii="Arial" w:hAnsi="Arial" w:cs="Arial"/>
        </w:rPr>
        <w:t>, thèse de doctorat, université Paris</w:t>
      </w:r>
      <w:r w:rsidR="002B62C0" w:rsidRPr="00EE13F2">
        <w:rPr>
          <w:rFonts w:ascii="Arial" w:hAnsi="Arial" w:cs="Arial"/>
        </w:rPr>
        <w:t xml:space="preserve"> </w:t>
      </w:r>
      <w:r w:rsidRPr="00EE13F2">
        <w:rPr>
          <w:rFonts w:ascii="Arial" w:hAnsi="Arial" w:cs="Arial"/>
        </w:rPr>
        <w:t>1–Panthéon-Sorbonne.</w:t>
      </w:r>
    </w:p>
    <w:p w14:paraId="151946F4" w14:textId="15E42C24" w:rsidR="001D044E" w:rsidRPr="00EE13F2" w:rsidRDefault="001D044E" w:rsidP="00EE13F2">
      <w:pPr>
        <w:spacing w:after="120" w:line="240" w:lineRule="auto"/>
        <w:rPr>
          <w:rFonts w:ascii="Arial" w:hAnsi="Arial" w:cs="Arial"/>
        </w:rPr>
      </w:pPr>
      <w:r w:rsidRPr="00EE13F2">
        <w:rPr>
          <w:rFonts w:ascii="Arial" w:hAnsi="Arial" w:cs="Arial"/>
        </w:rPr>
        <w:t>GEYER B., SANLAVILLE P., 1996, « Nouvelle contribution à l</w:t>
      </w:r>
      <w:r w:rsidR="00494394" w:rsidRPr="00EE13F2">
        <w:rPr>
          <w:rFonts w:ascii="Arial" w:hAnsi="Arial" w:cs="Arial"/>
        </w:rPr>
        <w:t>’</w:t>
      </w:r>
      <w:r w:rsidRPr="00EE13F2">
        <w:rPr>
          <w:rFonts w:ascii="Arial" w:hAnsi="Arial" w:cs="Arial"/>
        </w:rPr>
        <w:t>étude</w:t>
      </w:r>
      <w:r w:rsidR="002962D2" w:rsidRPr="00EE13F2">
        <w:rPr>
          <w:rFonts w:ascii="Arial" w:hAnsi="Arial" w:cs="Arial"/>
        </w:rPr>
        <w:t xml:space="preserve"> </w:t>
      </w:r>
      <w:r w:rsidRPr="00EE13F2">
        <w:rPr>
          <w:rFonts w:ascii="Arial" w:hAnsi="Arial" w:cs="Arial"/>
        </w:rPr>
        <w:t>géomorphologique de la région de Larsa-</w:t>
      </w:r>
      <w:r w:rsidR="00494394" w:rsidRPr="00EE13F2">
        <w:rPr>
          <w:rFonts w:ascii="Arial" w:hAnsi="Arial" w:cs="Arial"/>
        </w:rPr>
        <w:t>‘</w:t>
      </w:r>
      <w:r w:rsidRPr="00EE13F2">
        <w:rPr>
          <w:rFonts w:ascii="Arial" w:hAnsi="Arial" w:cs="Arial"/>
        </w:rPr>
        <w:t xml:space="preserve">Oueili (Iraq) », </w:t>
      </w:r>
      <w:r w:rsidRPr="00EE13F2">
        <w:rPr>
          <w:rFonts w:ascii="Arial" w:hAnsi="Arial" w:cs="Arial"/>
          <w:i/>
          <w:iCs/>
        </w:rPr>
        <w:t xml:space="preserve">in </w:t>
      </w:r>
      <w:r w:rsidRPr="00EE13F2">
        <w:rPr>
          <w:rFonts w:ascii="Arial" w:hAnsi="Arial" w:cs="Arial"/>
        </w:rPr>
        <w:t>J.-L. Huot (dir.),</w:t>
      </w:r>
      <w:r w:rsidR="002962D2" w:rsidRPr="00EE13F2">
        <w:rPr>
          <w:rFonts w:ascii="Arial" w:hAnsi="Arial" w:cs="Arial"/>
        </w:rPr>
        <w:t xml:space="preserve"> </w:t>
      </w:r>
      <w:r w:rsidR="00494394" w:rsidRPr="00EE13F2">
        <w:rPr>
          <w:rFonts w:ascii="Arial" w:hAnsi="Arial" w:cs="Arial"/>
          <w:i/>
          <w:iCs/>
        </w:rPr>
        <w:t>‘</w:t>
      </w:r>
      <w:r w:rsidRPr="00EE13F2">
        <w:rPr>
          <w:rFonts w:ascii="Arial" w:hAnsi="Arial" w:cs="Arial"/>
          <w:i/>
          <w:iCs/>
        </w:rPr>
        <w:t>Oueili : travaux de 1987 et 1989</w:t>
      </w:r>
      <w:r w:rsidRPr="00EE13F2">
        <w:rPr>
          <w:rFonts w:ascii="Arial" w:hAnsi="Arial" w:cs="Arial"/>
        </w:rPr>
        <w:t>, Paris : Éditions Recherche sur</w:t>
      </w:r>
      <w:r w:rsidR="002962D2" w:rsidRPr="00EE13F2">
        <w:rPr>
          <w:rFonts w:ascii="Arial" w:hAnsi="Arial" w:cs="Arial"/>
        </w:rPr>
        <w:t xml:space="preserve"> </w:t>
      </w:r>
      <w:r w:rsidRPr="00EE13F2">
        <w:rPr>
          <w:rFonts w:ascii="Arial" w:hAnsi="Arial" w:cs="Arial"/>
        </w:rPr>
        <w:t>les civilisations (Travaux du Centre de recherche d</w:t>
      </w:r>
      <w:r w:rsidR="00494394" w:rsidRPr="00EE13F2">
        <w:rPr>
          <w:rFonts w:ascii="Arial" w:hAnsi="Arial" w:cs="Arial"/>
        </w:rPr>
        <w:t>’</w:t>
      </w:r>
      <w:r w:rsidRPr="00EE13F2">
        <w:rPr>
          <w:rFonts w:ascii="Arial" w:hAnsi="Arial" w:cs="Arial"/>
        </w:rPr>
        <w:t>archéologie orientale, 11),</w:t>
      </w:r>
      <w:r w:rsidR="002962D2" w:rsidRPr="00EE13F2">
        <w:rPr>
          <w:rFonts w:ascii="Arial" w:hAnsi="Arial" w:cs="Arial"/>
        </w:rPr>
        <w:t xml:space="preserve"> </w:t>
      </w:r>
      <w:r w:rsidRPr="00EE13F2">
        <w:rPr>
          <w:rFonts w:ascii="Arial" w:hAnsi="Arial" w:cs="Arial"/>
        </w:rPr>
        <w:t>p. 391-408.</w:t>
      </w:r>
    </w:p>
    <w:p w14:paraId="05CD3121" w14:textId="0A4BDB6C" w:rsidR="001D044E" w:rsidRPr="00EE13F2" w:rsidRDefault="001D044E" w:rsidP="00EE13F2">
      <w:pPr>
        <w:spacing w:after="120" w:line="240" w:lineRule="auto"/>
        <w:rPr>
          <w:rFonts w:ascii="Arial" w:hAnsi="Arial" w:cs="Arial"/>
        </w:rPr>
      </w:pPr>
      <w:r w:rsidRPr="00EE13F2">
        <w:rPr>
          <w:rFonts w:ascii="Arial" w:hAnsi="Arial" w:cs="Arial"/>
        </w:rPr>
        <w:t>HUOT J.-L., 2015, « Un jardin en Eden, du côté de l</w:t>
      </w:r>
      <w:r w:rsidR="00494394" w:rsidRPr="00EE13F2">
        <w:rPr>
          <w:rFonts w:ascii="Arial" w:hAnsi="Arial" w:cs="Arial"/>
        </w:rPr>
        <w:t>’</w:t>
      </w:r>
      <w:r w:rsidRPr="00EE13F2">
        <w:rPr>
          <w:rFonts w:ascii="Arial" w:hAnsi="Arial" w:cs="Arial"/>
        </w:rPr>
        <w:t xml:space="preserve">Orient (Gn 2.8) », </w:t>
      </w:r>
      <w:r w:rsidRPr="00EE13F2">
        <w:rPr>
          <w:rFonts w:ascii="Arial" w:hAnsi="Arial" w:cs="Arial"/>
          <w:i/>
          <w:iCs/>
        </w:rPr>
        <w:t>in</w:t>
      </w:r>
      <w:r w:rsidR="002962D2" w:rsidRPr="00EE13F2">
        <w:rPr>
          <w:rFonts w:ascii="Arial" w:hAnsi="Arial" w:cs="Arial"/>
          <w:i/>
          <w:iCs/>
        </w:rPr>
        <w:t xml:space="preserve"> </w:t>
      </w:r>
      <w:r w:rsidRPr="00EE13F2">
        <w:rPr>
          <w:rFonts w:ascii="Arial" w:hAnsi="Arial" w:cs="Arial"/>
        </w:rPr>
        <w:t xml:space="preserve">B. Geyer, V. Matoïan et M. al-Maqdissi (éd.), </w:t>
      </w:r>
      <w:r w:rsidRPr="00EE13F2">
        <w:rPr>
          <w:rFonts w:ascii="Arial" w:hAnsi="Arial" w:cs="Arial"/>
          <w:i/>
          <w:iCs/>
        </w:rPr>
        <w:t>De l</w:t>
      </w:r>
      <w:r w:rsidR="00494394" w:rsidRPr="00EE13F2">
        <w:rPr>
          <w:rFonts w:ascii="Arial" w:hAnsi="Arial" w:cs="Arial"/>
          <w:i/>
          <w:iCs/>
        </w:rPr>
        <w:t>’</w:t>
      </w:r>
      <w:r w:rsidRPr="00EE13F2">
        <w:rPr>
          <w:rFonts w:ascii="Arial" w:hAnsi="Arial" w:cs="Arial"/>
          <w:i/>
          <w:iCs/>
        </w:rPr>
        <w:t>île d</w:t>
      </w:r>
      <w:r w:rsidR="00494394" w:rsidRPr="00EE13F2">
        <w:rPr>
          <w:rFonts w:ascii="Arial" w:hAnsi="Arial" w:cs="Arial"/>
          <w:i/>
          <w:iCs/>
        </w:rPr>
        <w:t>’</w:t>
      </w:r>
      <w:r w:rsidRPr="00EE13F2">
        <w:rPr>
          <w:rFonts w:ascii="Arial" w:hAnsi="Arial" w:cs="Arial"/>
          <w:i/>
          <w:iCs/>
        </w:rPr>
        <w:t>Aphrodite au Paradis</w:t>
      </w:r>
      <w:r w:rsidR="002962D2" w:rsidRPr="00EE13F2">
        <w:rPr>
          <w:rFonts w:ascii="Arial" w:hAnsi="Arial" w:cs="Arial"/>
          <w:i/>
          <w:iCs/>
        </w:rPr>
        <w:t xml:space="preserve"> </w:t>
      </w:r>
      <w:r w:rsidRPr="00EE13F2">
        <w:rPr>
          <w:rFonts w:ascii="Arial" w:hAnsi="Arial" w:cs="Arial"/>
          <w:i/>
          <w:iCs/>
        </w:rPr>
        <w:t>perdu, itinéraire d</w:t>
      </w:r>
      <w:r w:rsidR="00494394" w:rsidRPr="00EE13F2">
        <w:rPr>
          <w:rFonts w:ascii="Arial" w:hAnsi="Arial" w:cs="Arial"/>
          <w:i/>
          <w:iCs/>
        </w:rPr>
        <w:t>’</w:t>
      </w:r>
      <w:r w:rsidRPr="00EE13F2">
        <w:rPr>
          <w:rFonts w:ascii="Arial" w:hAnsi="Arial" w:cs="Arial"/>
          <w:i/>
          <w:iCs/>
        </w:rPr>
        <w:t>un gentilhomme lyonnais. En hommage à Yves Calvet</w:t>
      </w:r>
      <w:r w:rsidRPr="00EE13F2">
        <w:rPr>
          <w:rFonts w:ascii="Arial" w:hAnsi="Arial" w:cs="Arial"/>
        </w:rPr>
        <w:t>,</w:t>
      </w:r>
      <w:r w:rsidR="002962D2" w:rsidRPr="00EE13F2">
        <w:rPr>
          <w:rFonts w:ascii="Arial" w:hAnsi="Arial" w:cs="Arial"/>
        </w:rPr>
        <w:t xml:space="preserve"> </w:t>
      </w:r>
      <w:r w:rsidRPr="00EE13F2">
        <w:rPr>
          <w:rFonts w:ascii="Arial" w:hAnsi="Arial" w:cs="Arial"/>
        </w:rPr>
        <w:t>Louvain, Peeters (Ras Shamra-Ougarit, 22), p. 331-342.</w:t>
      </w:r>
    </w:p>
    <w:p w14:paraId="2A7EC332" w14:textId="5D5F33C6" w:rsidR="001D044E" w:rsidRPr="00EE13F2" w:rsidRDefault="001D044E" w:rsidP="00EE13F2">
      <w:pPr>
        <w:spacing w:after="120" w:line="240" w:lineRule="auto"/>
        <w:rPr>
          <w:rFonts w:ascii="Arial" w:hAnsi="Arial" w:cs="Arial"/>
          <w:lang w:val="en-GB"/>
        </w:rPr>
      </w:pPr>
      <w:r w:rsidRPr="00EE13F2">
        <w:rPr>
          <w:rFonts w:ascii="Arial" w:hAnsi="Arial" w:cs="Arial"/>
        </w:rPr>
        <w:t xml:space="preserve">LAFONT B., TENU A., JOANNÈS F. </w:t>
      </w:r>
      <w:r w:rsidRPr="00EE13F2">
        <w:rPr>
          <w:rFonts w:ascii="Arial" w:hAnsi="Arial" w:cs="Arial"/>
          <w:i/>
          <w:iCs/>
        </w:rPr>
        <w:t>et al.</w:t>
      </w:r>
      <w:r w:rsidRPr="00EE13F2">
        <w:rPr>
          <w:rFonts w:ascii="Arial" w:hAnsi="Arial" w:cs="Arial"/>
        </w:rPr>
        <w:t xml:space="preserve">, 2017, </w:t>
      </w:r>
      <w:r w:rsidRPr="00EE13F2">
        <w:rPr>
          <w:rFonts w:ascii="Arial" w:hAnsi="Arial" w:cs="Arial"/>
          <w:i/>
          <w:iCs/>
        </w:rPr>
        <w:t>La Mésopotamie : de Gilgamesh</w:t>
      </w:r>
      <w:r w:rsidR="002962D2" w:rsidRPr="00EE13F2">
        <w:rPr>
          <w:rFonts w:ascii="Arial" w:hAnsi="Arial" w:cs="Arial"/>
          <w:i/>
          <w:iCs/>
        </w:rPr>
        <w:t xml:space="preserve"> </w:t>
      </w:r>
      <w:r w:rsidRPr="00EE13F2">
        <w:rPr>
          <w:rFonts w:ascii="Arial" w:hAnsi="Arial" w:cs="Arial"/>
          <w:i/>
          <w:iCs/>
        </w:rPr>
        <w:t xml:space="preserve">à Artaban (3300-120 av. </w:t>
      </w:r>
      <w:r w:rsidRPr="00EE13F2">
        <w:rPr>
          <w:rFonts w:ascii="Arial" w:hAnsi="Arial" w:cs="Arial"/>
          <w:i/>
          <w:iCs/>
          <w:lang w:val="en-GB"/>
        </w:rPr>
        <w:t>J.-C.)</w:t>
      </w:r>
      <w:r w:rsidRPr="00EE13F2">
        <w:rPr>
          <w:rFonts w:ascii="Arial" w:hAnsi="Arial" w:cs="Arial"/>
          <w:lang w:val="en-GB"/>
        </w:rPr>
        <w:t>, Paris, Belin (Mondes anciens).</w:t>
      </w:r>
    </w:p>
    <w:p w14:paraId="013ACFF8" w14:textId="7EDC9AB5" w:rsidR="001D044E" w:rsidRPr="00EE13F2" w:rsidRDefault="001D044E" w:rsidP="00EE13F2">
      <w:pPr>
        <w:spacing w:after="120" w:line="240" w:lineRule="auto"/>
        <w:rPr>
          <w:rFonts w:ascii="Arial" w:hAnsi="Arial" w:cs="Arial"/>
          <w:lang w:val="en-GB"/>
        </w:rPr>
      </w:pPr>
      <w:r w:rsidRPr="00EE13F2">
        <w:rPr>
          <w:rFonts w:ascii="Arial" w:hAnsi="Arial" w:cs="Arial"/>
          <w:lang w:val="en-GB"/>
        </w:rPr>
        <w:t xml:space="preserve">LE STRANGE G., 1905, </w:t>
      </w:r>
      <w:r w:rsidRPr="00EE13F2">
        <w:rPr>
          <w:rFonts w:ascii="Arial" w:hAnsi="Arial" w:cs="Arial"/>
          <w:i/>
          <w:iCs/>
          <w:lang w:val="en-GB"/>
        </w:rPr>
        <w:t>The Lands of The Eastern Caliphate: Mesopotamia,</w:t>
      </w:r>
      <w:r w:rsidR="002962D2" w:rsidRPr="00EE13F2">
        <w:rPr>
          <w:rFonts w:ascii="Arial" w:hAnsi="Arial" w:cs="Arial"/>
          <w:i/>
          <w:iCs/>
          <w:lang w:val="en-GB"/>
        </w:rPr>
        <w:t xml:space="preserve"> </w:t>
      </w:r>
      <w:r w:rsidRPr="00EE13F2">
        <w:rPr>
          <w:rFonts w:ascii="Arial" w:hAnsi="Arial" w:cs="Arial"/>
          <w:i/>
          <w:iCs/>
          <w:lang w:val="en-GB"/>
        </w:rPr>
        <w:t>Persia and Central Asia from the Moslem Conquest to the Time of Timur</w:t>
      </w:r>
      <w:r w:rsidRPr="00EE13F2">
        <w:rPr>
          <w:rFonts w:ascii="Arial" w:hAnsi="Arial" w:cs="Arial"/>
          <w:lang w:val="en-GB"/>
        </w:rPr>
        <w:t>,</w:t>
      </w:r>
      <w:r w:rsidR="002962D2" w:rsidRPr="00EE13F2">
        <w:rPr>
          <w:rFonts w:ascii="Arial" w:hAnsi="Arial" w:cs="Arial"/>
          <w:lang w:val="en-GB"/>
        </w:rPr>
        <w:t xml:space="preserve"> </w:t>
      </w:r>
      <w:r w:rsidRPr="00EE13F2">
        <w:rPr>
          <w:rFonts w:ascii="Arial" w:hAnsi="Arial" w:cs="Arial"/>
          <w:lang w:val="en-GB"/>
        </w:rPr>
        <w:t>Cambridge, Cambridge University Press.</w:t>
      </w:r>
    </w:p>
    <w:p w14:paraId="33D3EF7B" w14:textId="0C0A5CC3" w:rsidR="001D044E" w:rsidRPr="00EE13F2" w:rsidRDefault="001D044E" w:rsidP="00EE13F2">
      <w:pPr>
        <w:spacing w:after="120" w:line="240" w:lineRule="auto"/>
        <w:rPr>
          <w:rFonts w:ascii="Arial" w:hAnsi="Arial" w:cs="Arial"/>
        </w:rPr>
      </w:pPr>
      <w:r w:rsidRPr="00EE13F2">
        <w:rPr>
          <w:rFonts w:ascii="Arial" w:hAnsi="Arial" w:cs="Arial"/>
        </w:rPr>
        <w:t xml:space="preserve">LECOMPTE C., 2009, </w:t>
      </w:r>
      <w:r w:rsidRPr="00EE13F2">
        <w:rPr>
          <w:rFonts w:ascii="Arial" w:hAnsi="Arial" w:cs="Arial"/>
          <w:i/>
          <w:iCs/>
        </w:rPr>
        <w:t>Listes lexicales et représentations spatiales des époques</w:t>
      </w:r>
      <w:r w:rsidR="002962D2" w:rsidRPr="00EE13F2">
        <w:rPr>
          <w:rFonts w:ascii="Arial" w:hAnsi="Arial" w:cs="Arial"/>
          <w:i/>
          <w:iCs/>
        </w:rPr>
        <w:t xml:space="preserve"> </w:t>
      </w:r>
      <w:r w:rsidRPr="00EE13F2">
        <w:rPr>
          <w:rFonts w:ascii="Arial" w:hAnsi="Arial" w:cs="Arial"/>
          <w:i/>
          <w:iCs/>
        </w:rPr>
        <w:t>archaïques à la période paléo-babylonienne</w:t>
      </w:r>
      <w:r w:rsidRPr="00EE13F2">
        <w:rPr>
          <w:rFonts w:ascii="Arial" w:hAnsi="Arial" w:cs="Arial"/>
        </w:rPr>
        <w:t>, thèse de doctorat, université de</w:t>
      </w:r>
      <w:r w:rsidR="002962D2" w:rsidRPr="00EE13F2">
        <w:rPr>
          <w:rFonts w:ascii="Arial" w:hAnsi="Arial" w:cs="Arial"/>
        </w:rPr>
        <w:t xml:space="preserve"> </w:t>
      </w:r>
      <w:r w:rsidRPr="00EE13F2">
        <w:rPr>
          <w:rFonts w:ascii="Arial" w:hAnsi="Arial" w:cs="Arial"/>
        </w:rPr>
        <w:t>Versailles–Saint-Quentin-en-Yvelines, Versailles.</w:t>
      </w:r>
    </w:p>
    <w:p w14:paraId="0AB1FC53" w14:textId="0D9376BF" w:rsidR="001D044E" w:rsidRPr="00EE13F2" w:rsidRDefault="001D044E" w:rsidP="00EE13F2">
      <w:pPr>
        <w:spacing w:after="120" w:line="240" w:lineRule="auto"/>
        <w:rPr>
          <w:rFonts w:ascii="Arial" w:hAnsi="Arial" w:cs="Arial"/>
          <w:lang w:val="en-GB"/>
        </w:rPr>
      </w:pPr>
      <w:r w:rsidRPr="00EE13F2">
        <w:rPr>
          <w:rFonts w:ascii="Arial" w:hAnsi="Arial" w:cs="Arial"/>
          <w:lang w:val="en-GB"/>
        </w:rPr>
        <w:t xml:space="preserve">POURNELLE J., 2003, </w:t>
      </w:r>
      <w:r w:rsidRPr="00EE13F2">
        <w:rPr>
          <w:rFonts w:ascii="Arial" w:hAnsi="Arial" w:cs="Arial"/>
          <w:i/>
          <w:iCs/>
          <w:lang w:val="en-GB"/>
        </w:rPr>
        <w:t>Marshland of Cities: Deltaic Landscapes and the Evolution</w:t>
      </w:r>
      <w:r w:rsidR="002962D2" w:rsidRPr="00EE13F2">
        <w:rPr>
          <w:rFonts w:ascii="Arial" w:hAnsi="Arial" w:cs="Arial"/>
          <w:i/>
          <w:iCs/>
          <w:lang w:val="en-GB"/>
        </w:rPr>
        <w:t xml:space="preserve"> </w:t>
      </w:r>
      <w:r w:rsidRPr="00EE13F2">
        <w:rPr>
          <w:rFonts w:ascii="Arial" w:hAnsi="Arial" w:cs="Arial"/>
          <w:i/>
          <w:iCs/>
          <w:lang w:val="en-GB"/>
        </w:rPr>
        <w:t>of Early Mesopotamian Civilization</w:t>
      </w:r>
      <w:r w:rsidRPr="00EE13F2">
        <w:rPr>
          <w:rFonts w:ascii="Arial" w:hAnsi="Arial" w:cs="Arial"/>
          <w:lang w:val="en-GB"/>
        </w:rPr>
        <w:t>, thèse de doctorat, University of South</w:t>
      </w:r>
      <w:r w:rsidR="002962D2" w:rsidRPr="00EE13F2">
        <w:rPr>
          <w:rFonts w:ascii="Arial" w:hAnsi="Arial" w:cs="Arial"/>
          <w:lang w:val="en-GB"/>
        </w:rPr>
        <w:t xml:space="preserve"> </w:t>
      </w:r>
      <w:r w:rsidRPr="00EE13F2">
        <w:rPr>
          <w:rFonts w:ascii="Arial" w:hAnsi="Arial" w:cs="Arial"/>
          <w:lang w:val="en-GB"/>
        </w:rPr>
        <w:t>Carolina, Columbia.</w:t>
      </w:r>
    </w:p>
    <w:p w14:paraId="2B56AC68" w14:textId="4A052C4A" w:rsidR="001D044E" w:rsidRPr="00EE13F2" w:rsidRDefault="001D044E" w:rsidP="00EE13F2">
      <w:pPr>
        <w:spacing w:after="120" w:line="240" w:lineRule="auto"/>
        <w:rPr>
          <w:rFonts w:ascii="Arial" w:hAnsi="Arial" w:cs="Arial"/>
        </w:rPr>
      </w:pPr>
      <w:r w:rsidRPr="00EE13F2">
        <w:rPr>
          <w:rFonts w:ascii="Arial" w:hAnsi="Arial" w:cs="Arial"/>
        </w:rPr>
        <w:t xml:space="preserve">ROAF M., 1990, </w:t>
      </w:r>
      <w:r w:rsidRPr="00EE13F2">
        <w:rPr>
          <w:rFonts w:ascii="Arial" w:hAnsi="Arial" w:cs="Arial"/>
          <w:i/>
          <w:iCs/>
        </w:rPr>
        <w:t>Cultural Atlas of Mesopotamia and the Ancient Near East</w:t>
      </w:r>
      <w:r w:rsidRPr="00EE13F2">
        <w:rPr>
          <w:rFonts w:ascii="Arial" w:hAnsi="Arial" w:cs="Arial"/>
        </w:rPr>
        <w:t>,</w:t>
      </w:r>
      <w:r w:rsidR="002962D2" w:rsidRPr="00EE13F2">
        <w:rPr>
          <w:rFonts w:ascii="Arial" w:hAnsi="Arial" w:cs="Arial"/>
        </w:rPr>
        <w:t xml:space="preserve"> </w:t>
      </w:r>
      <w:r w:rsidRPr="00EE13F2">
        <w:rPr>
          <w:rFonts w:ascii="Arial" w:hAnsi="Arial" w:cs="Arial"/>
        </w:rPr>
        <w:t xml:space="preserve">Oxford, Equinox (traduction française par Philippe Talon, 1991, </w:t>
      </w:r>
      <w:r w:rsidRPr="00EE13F2">
        <w:rPr>
          <w:rFonts w:ascii="Arial" w:hAnsi="Arial" w:cs="Arial"/>
          <w:i/>
          <w:iCs/>
        </w:rPr>
        <w:t>Atlas de</w:t>
      </w:r>
      <w:r w:rsidR="002962D2" w:rsidRPr="00EE13F2">
        <w:rPr>
          <w:rFonts w:ascii="Arial" w:hAnsi="Arial" w:cs="Arial"/>
          <w:i/>
          <w:iCs/>
        </w:rPr>
        <w:t xml:space="preserve"> </w:t>
      </w:r>
      <w:r w:rsidRPr="00EE13F2">
        <w:rPr>
          <w:rFonts w:ascii="Arial" w:hAnsi="Arial" w:cs="Arial"/>
          <w:i/>
          <w:iCs/>
        </w:rPr>
        <w:t>la Mésopotamie et du Proche-Orient ancien</w:t>
      </w:r>
      <w:r w:rsidRPr="00EE13F2">
        <w:rPr>
          <w:rFonts w:ascii="Arial" w:hAnsi="Arial" w:cs="Arial"/>
        </w:rPr>
        <w:t>, Turnhout, Brepols, 1991).</w:t>
      </w:r>
    </w:p>
    <w:p w14:paraId="14B2D62D" w14:textId="53D27A0C" w:rsidR="001D044E" w:rsidRPr="00EE13F2" w:rsidRDefault="001D044E" w:rsidP="00EE13F2">
      <w:pPr>
        <w:spacing w:after="120" w:line="240" w:lineRule="auto"/>
        <w:rPr>
          <w:rFonts w:ascii="Arial" w:hAnsi="Arial" w:cs="Arial"/>
          <w:lang w:val="en-GB"/>
        </w:rPr>
      </w:pPr>
      <w:r w:rsidRPr="00EE13F2">
        <w:rPr>
          <w:rFonts w:ascii="Arial" w:hAnsi="Arial" w:cs="Arial"/>
          <w:lang w:val="en-GB"/>
        </w:rPr>
        <w:t xml:space="preserve">SALLABERGER W., SCHRAKAMP I., 2015, </w:t>
      </w:r>
      <w:r w:rsidRPr="00EE13F2">
        <w:rPr>
          <w:rFonts w:ascii="Arial" w:hAnsi="Arial" w:cs="Arial"/>
          <w:i/>
          <w:iCs/>
          <w:lang w:val="en-GB"/>
        </w:rPr>
        <w:t>History and Philology</w:t>
      </w:r>
      <w:r w:rsidRPr="00EE13F2">
        <w:rPr>
          <w:rFonts w:ascii="Arial" w:hAnsi="Arial" w:cs="Arial"/>
          <w:lang w:val="en-GB"/>
        </w:rPr>
        <w:t>, Turnhout,</w:t>
      </w:r>
      <w:r w:rsidR="002962D2" w:rsidRPr="00EE13F2">
        <w:rPr>
          <w:rFonts w:ascii="Arial" w:hAnsi="Arial" w:cs="Arial"/>
          <w:lang w:val="en-GB"/>
        </w:rPr>
        <w:t xml:space="preserve"> </w:t>
      </w:r>
      <w:r w:rsidRPr="00EE13F2">
        <w:rPr>
          <w:rFonts w:ascii="Arial" w:hAnsi="Arial" w:cs="Arial"/>
          <w:lang w:val="en-GB"/>
        </w:rPr>
        <w:t>Brepols (Associated Regional Chronologies for the Ancient Near East and</w:t>
      </w:r>
      <w:r w:rsidR="002962D2" w:rsidRPr="00EE13F2">
        <w:rPr>
          <w:rFonts w:ascii="Arial" w:hAnsi="Arial" w:cs="Arial"/>
          <w:lang w:val="en-GB"/>
        </w:rPr>
        <w:t xml:space="preserve"> </w:t>
      </w:r>
      <w:r w:rsidRPr="00EE13F2">
        <w:rPr>
          <w:rFonts w:ascii="Arial" w:hAnsi="Arial" w:cs="Arial"/>
          <w:lang w:val="en-GB"/>
        </w:rPr>
        <w:t>Eastern Mediterranean – ARCANE, 3).</w:t>
      </w:r>
    </w:p>
    <w:p w14:paraId="48562436" w14:textId="2BD97527" w:rsidR="001D044E" w:rsidRPr="00EE13F2" w:rsidRDefault="001D044E" w:rsidP="00EE13F2">
      <w:pPr>
        <w:spacing w:after="120" w:line="240" w:lineRule="auto"/>
        <w:rPr>
          <w:rFonts w:ascii="Arial" w:hAnsi="Arial" w:cs="Arial"/>
        </w:rPr>
      </w:pPr>
      <w:r w:rsidRPr="00EE13F2">
        <w:rPr>
          <w:rFonts w:ascii="Arial" w:hAnsi="Arial" w:cs="Arial"/>
        </w:rPr>
        <w:t>SANLAVILLE P., 1989, « Considérations sur l</w:t>
      </w:r>
      <w:r w:rsidR="00494394" w:rsidRPr="00EE13F2">
        <w:rPr>
          <w:rFonts w:ascii="Arial" w:hAnsi="Arial" w:cs="Arial"/>
        </w:rPr>
        <w:t>’</w:t>
      </w:r>
      <w:r w:rsidRPr="00EE13F2">
        <w:rPr>
          <w:rFonts w:ascii="Arial" w:hAnsi="Arial" w:cs="Arial"/>
        </w:rPr>
        <w:t>évolution de la basse</w:t>
      </w:r>
      <w:r w:rsidR="002962D2" w:rsidRPr="00EE13F2">
        <w:rPr>
          <w:rFonts w:ascii="Arial" w:hAnsi="Arial" w:cs="Arial"/>
        </w:rPr>
        <w:t xml:space="preserve"> </w:t>
      </w:r>
      <w:r w:rsidRPr="00EE13F2">
        <w:rPr>
          <w:rFonts w:ascii="Arial" w:hAnsi="Arial" w:cs="Arial"/>
        </w:rPr>
        <w:t xml:space="preserve">Mésopotamie au cours des derniers millénaires », </w:t>
      </w:r>
      <w:r w:rsidRPr="00EE13F2">
        <w:rPr>
          <w:rFonts w:ascii="Arial" w:hAnsi="Arial" w:cs="Arial"/>
          <w:i/>
          <w:iCs/>
        </w:rPr>
        <w:t>Paléorient</w:t>
      </w:r>
      <w:r w:rsidRPr="00EE13F2">
        <w:rPr>
          <w:rFonts w:ascii="Arial" w:hAnsi="Arial" w:cs="Arial"/>
        </w:rPr>
        <w:t>, 15/2, p. 5-27.</w:t>
      </w:r>
    </w:p>
    <w:p w14:paraId="76E526A0" w14:textId="4F17E48E" w:rsidR="001D044E" w:rsidRPr="00EE13F2" w:rsidRDefault="001D044E" w:rsidP="00EE13F2">
      <w:pPr>
        <w:spacing w:after="120" w:line="240" w:lineRule="auto"/>
        <w:rPr>
          <w:rFonts w:ascii="Arial" w:hAnsi="Arial" w:cs="Arial"/>
          <w:lang w:val="en-GB"/>
        </w:rPr>
      </w:pPr>
      <w:r w:rsidRPr="00EE13F2">
        <w:rPr>
          <w:rFonts w:ascii="Arial" w:hAnsi="Arial" w:cs="Arial"/>
          <w:lang w:val="en-GB"/>
        </w:rPr>
        <w:t>SANLAVILLE P., 2002, « The Deltaic Complex of the Lower Mesopotamian</w:t>
      </w:r>
      <w:r w:rsidR="002962D2" w:rsidRPr="00EE13F2">
        <w:rPr>
          <w:rFonts w:ascii="Arial" w:hAnsi="Arial" w:cs="Arial"/>
          <w:lang w:val="en-GB"/>
        </w:rPr>
        <w:t xml:space="preserve"> </w:t>
      </w:r>
      <w:r w:rsidRPr="00EE13F2">
        <w:rPr>
          <w:rFonts w:ascii="Arial" w:hAnsi="Arial" w:cs="Arial"/>
          <w:lang w:val="en-GB"/>
        </w:rPr>
        <w:t xml:space="preserve">Plain and its Evolution through Millenia », </w:t>
      </w:r>
      <w:r w:rsidRPr="00EE13F2">
        <w:rPr>
          <w:rFonts w:ascii="Arial" w:hAnsi="Arial" w:cs="Arial"/>
          <w:i/>
          <w:iCs/>
          <w:lang w:val="en-GB"/>
        </w:rPr>
        <w:t xml:space="preserve">in </w:t>
      </w:r>
      <w:r w:rsidRPr="00EE13F2">
        <w:rPr>
          <w:rFonts w:ascii="Arial" w:hAnsi="Arial" w:cs="Arial"/>
          <w:lang w:val="en-GB"/>
        </w:rPr>
        <w:t>E. Nicholson et P. Clark (éd.),</w:t>
      </w:r>
      <w:r w:rsidR="002962D2" w:rsidRPr="00EE13F2">
        <w:rPr>
          <w:rFonts w:ascii="Arial" w:hAnsi="Arial" w:cs="Arial"/>
          <w:lang w:val="en-GB"/>
        </w:rPr>
        <w:t xml:space="preserve"> </w:t>
      </w:r>
      <w:r w:rsidRPr="00EE13F2">
        <w:rPr>
          <w:rFonts w:ascii="Arial" w:hAnsi="Arial" w:cs="Arial"/>
          <w:i/>
          <w:iCs/>
          <w:lang w:val="en-GB"/>
        </w:rPr>
        <w:t>The Iraqi Marshlands: A Human and Environmental Study</w:t>
      </w:r>
      <w:r w:rsidRPr="00EE13F2">
        <w:rPr>
          <w:rFonts w:ascii="Arial" w:hAnsi="Arial" w:cs="Arial"/>
          <w:lang w:val="en-GB"/>
        </w:rPr>
        <w:t>, Londres, Politico</w:t>
      </w:r>
      <w:r w:rsidR="002962D2" w:rsidRPr="00EE13F2">
        <w:rPr>
          <w:rFonts w:ascii="Arial" w:hAnsi="Arial" w:cs="Arial"/>
          <w:lang w:val="en-GB"/>
        </w:rPr>
        <w:t>’</w:t>
      </w:r>
      <w:r w:rsidRPr="00EE13F2">
        <w:rPr>
          <w:rFonts w:ascii="Arial" w:hAnsi="Arial" w:cs="Arial"/>
          <w:lang w:val="en-GB"/>
        </w:rPr>
        <w:t>s,</w:t>
      </w:r>
      <w:r w:rsidR="002962D2" w:rsidRPr="00EE13F2">
        <w:rPr>
          <w:rFonts w:ascii="Arial" w:hAnsi="Arial" w:cs="Arial"/>
          <w:lang w:val="en-GB"/>
        </w:rPr>
        <w:t xml:space="preserve"> </w:t>
      </w:r>
      <w:r w:rsidRPr="00EE13F2">
        <w:rPr>
          <w:rFonts w:ascii="Arial" w:hAnsi="Arial" w:cs="Arial"/>
          <w:lang w:val="en-GB"/>
        </w:rPr>
        <w:t>p. 133-150.</w:t>
      </w:r>
    </w:p>
    <w:p w14:paraId="3BF31B4E" w14:textId="3E5B2836" w:rsidR="001D044E" w:rsidRPr="005B69A8" w:rsidRDefault="001D044E" w:rsidP="00EE13F2">
      <w:pPr>
        <w:spacing w:after="120" w:line="240" w:lineRule="auto"/>
        <w:rPr>
          <w:rFonts w:ascii="Arial" w:hAnsi="Arial" w:cs="Arial"/>
        </w:rPr>
      </w:pPr>
      <w:r w:rsidRPr="00EE13F2">
        <w:rPr>
          <w:rFonts w:ascii="Arial" w:hAnsi="Arial" w:cs="Arial"/>
          <w:lang w:val="en-GB"/>
        </w:rPr>
        <w:t xml:space="preserve">TAVO, 1976-1994, </w:t>
      </w:r>
      <w:r w:rsidRPr="00EE13F2">
        <w:rPr>
          <w:rFonts w:ascii="Arial" w:hAnsi="Arial" w:cs="Arial"/>
          <w:i/>
          <w:iCs/>
          <w:lang w:val="en-GB"/>
        </w:rPr>
        <w:t>Tübinger Atlas des Vorderen Orients</w:t>
      </w:r>
      <w:r w:rsidRPr="00EE13F2">
        <w:rPr>
          <w:rFonts w:ascii="Arial" w:hAnsi="Arial" w:cs="Arial"/>
          <w:lang w:val="en-GB"/>
        </w:rPr>
        <w:t>, Wiesbaden, Ludwig</w:t>
      </w:r>
      <w:r w:rsidR="002962D2" w:rsidRPr="00EE13F2">
        <w:rPr>
          <w:rFonts w:ascii="Arial" w:hAnsi="Arial" w:cs="Arial"/>
          <w:lang w:val="en-GB"/>
        </w:rPr>
        <w:t xml:space="preserve"> </w:t>
      </w:r>
      <w:r w:rsidRPr="00EE13F2">
        <w:rPr>
          <w:rFonts w:ascii="Arial" w:hAnsi="Arial" w:cs="Arial"/>
          <w:lang w:val="en-GB"/>
        </w:rPr>
        <w:t>Reichert. Cartes B IV 13 : Das Neuassyrische Reich der Sargoniden (720-612</w:t>
      </w:r>
      <w:r w:rsidR="002962D2" w:rsidRPr="00EE13F2">
        <w:rPr>
          <w:rFonts w:ascii="Arial" w:hAnsi="Arial" w:cs="Arial"/>
          <w:lang w:val="en-GB"/>
        </w:rPr>
        <w:t xml:space="preserve"> </w:t>
      </w:r>
      <w:r w:rsidRPr="00EE13F2">
        <w:rPr>
          <w:rFonts w:ascii="Arial" w:hAnsi="Arial" w:cs="Arial"/>
          <w:lang w:val="en-GB"/>
        </w:rPr>
        <w:t>v. Chr.) und das Neubabylonische Reich (612-539 v. Chr.) ; B IV 22 : Iran</w:t>
      </w:r>
      <w:r w:rsidR="002962D2" w:rsidRPr="00EE13F2">
        <w:rPr>
          <w:rFonts w:ascii="Arial" w:hAnsi="Arial" w:cs="Arial"/>
          <w:lang w:val="en-GB"/>
        </w:rPr>
        <w:t xml:space="preserve"> </w:t>
      </w:r>
      <w:r w:rsidRPr="00EE13F2">
        <w:rPr>
          <w:rFonts w:ascii="Arial" w:hAnsi="Arial" w:cs="Arial"/>
          <w:lang w:val="en-GB"/>
        </w:rPr>
        <w:t xml:space="preserve">unter den Achämeniden (6.-4. </w:t>
      </w:r>
      <w:r w:rsidRPr="005B69A8">
        <w:rPr>
          <w:rFonts w:ascii="Arial" w:hAnsi="Arial" w:cs="Arial"/>
        </w:rPr>
        <w:t>Jahrhundert v. Chr.)</w:t>
      </w:r>
      <w:r w:rsidR="002962D2" w:rsidRPr="005B69A8">
        <w:rPr>
          <w:rFonts w:ascii="Arial" w:hAnsi="Arial" w:cs="Arial"/>
        </w:rPr>
        <w:t>.</w:t>
      </w:r>
    </w:p>
    <w:p w14:paraId="0C35822D" w14:textId="77777777" w:rsidR="00AA699E" w:rsidRPr="005B69A8" w:rsidRDefault="00AA699E" w:rsidP="00EE13F2">
      <w:pPr>
        <w:spacing w:after="120" w:line="240" w:lineRule="auto"/>
        <w:rPr>
          <w:rFonts w:ascii="Arial" w:hAnsi="Arial" w:cs="Arial"/>
        </w:rPr>
      </w:pPr>
    </w:p>
    <w:p w14:paraId="76A8B749" w14:textId="77777777" w:rsidR="004134C7" w:rsidRPr="005B69A8" w:rsidRDefault="004134C7" w:rsidP="00EE13F2">
      <w:pPr>
        <w:spacing w:after="120" w:line="240" w:lineRule="auto"/>
        <w:rPr>
          <w:rFonts w:ascii="Arial" w:hAnsi="Arial" w:cs="Arial"/>
        </w:rPr>
        <w:sectPr w:rsidR="004134C7" w:rsidRPr="005B69A8" w:rsidSect="00EE13F2">
          <w:pgSz w:w="11906" w:h="16838"/>
          <w:pgMar w:top="993" w:right="1417" w:bottom="1135" w:left="1417" w:header="708" w:footer="708" w:gutter="0"/>
          <w:cols w:space="708"/>
          <w:docGrid w:linePitch="360"/>
        </w:sectPr>
      </w:pPr>
    </w:p>
    <w:p w14:paraId="28D7150F" w14:textId="500C4CA3" w:rsidR="00BD3FE5" w:rsidRPr="00A912D5" w:rsidRDefault="00CB478A" w:rsidP="00EE13F2">
      <w:pPr>
        <w:spacing w:after="120" w:line="240" w:lineRule="auto"/>
        <w:ind w:left="-284"/>
        <w:rPr>
          <w:rFonts w:ascii="Arial" w:hAnsi="Arial" w:cs="Arial"/>
          <w:color w:val="EE0000"/>
        </w:rPr>
      </w:pPr>
      <w:r w:rsidRPr="00EE13F2">
        <w:rPr>
          <w:rFonts w:ascii="Arial" w:hAnsi="Arial" w:cs="Arial"/>
          <w:noProof/>
        </w:rPr>
        <w:lastRenderedPageBreak/>
        <w:drawing>
          <wp:inline distT="0" distB="0" distL="0" distR="0" wp14:anchorId="4C1A0E02" wp14:editId="30CA7CAD">
            <wp:extent cx="9361805" cy="6339840"/>
            <wp:effectExtent l="0" t="0" r="0" b="3810"/>
            <wp:docPr id="104940443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805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B85" w:rsidRPr="005B69A8">
        <w:rPr>
          <w:rFonts w:ascii="Arial" w:hAnsi="Arial" w:cs="Arial"/>
        </w:rPr>
        <w:br/>
      </w:r>
      <w:r w:rsidR="00D92B85" w:rsidRPr="00A912D5">
        <w:rPr>
          <w:rFonts w:ascii="Arial" w:hAnsi="Arial" w:cs="Arial"/>
          <w:color w:val="EE0000"/>
        </w:rPr>
        <w:t>Attention</w:t>
      </w:r>
      <w:r w:rsidR="00ED2842">
        <w:rPr>
          <w:rFonts w:ascii="Arial" w:hAnsi="Arial" w:cs="Arial"/>
          <w:color w:val="EE0000"/>
        </w:rPr>
        <w:t xml:space="preserve"> : </w:t>
      </w:r>
      <w:r w:rsidR="005B69A8" w:rsidRPr="00A912D5">
        <w:rPr>
          <w:rFonts w:ascii="Arial" w:hAnsi="Arial" w:cs="Arial"/>
          <w:color w:val="EE0000"/>
        </w:rPr>
        <w:t>échelle 0-100 km au lieu de 0-200 km</w:t>
      </w:r>
    </w:p>
    <w:p w14:paraId="4062F210" w14:textId="6616FFE7" w:rsidR="00CB478A" w:rsidRPr="0039648A" w:rsidRDefault="004F0D83" w:rsidP="00EE13F2">
      <w:pPr>
        <w:spacing w:after="120" w:line="240" w:lineRule="auto"/>
        <w:rPr>
          <w:rFonts w:ascii="Arial" w:hAnsi="Arial" w:cs="Arial"/>
        </w:rPr>
      </w:pPr>
      <w:r w:rsidRPr="00EE13F2">
        <w:rPr>
          <w:rFonts w:ascii="Arial" w:hAnsi="Arial" w:cs="Arial"/>
          <w:noProof/>
        </w:rPr>
        <w:lastRenderedPageBreak/>
        <w:drawing>
          <wp:inline distT="0" distB="0" distL="0" distR="0" wp14:anchorId="14B3D979" wp14:editId="078AACCD">
            <wp:extent cx="9361805" cy="6332855"/>
            <wp:effectExtent l="0" t="0" r="0" b="0"/>
            <wp:docPr id="106409576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805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48A" w:rsidRPr="0039648A">
        <w:rPr>
          <w:rFonts w:ascii="Arial" w:hAnsi="Arial" w:cs="Arial"/>
        </w:rPr>
        <w:br/>
      </w:r>
      <w:r w:rsidR="0039648A" w:rsidRPr="00A912D5">
        <w:rPr>
          <w:rFonts w:ascii="Arial" w:hAnsi="Arial" w:cs="Arial"/>
          <w:color w:val="EE0000"/>
        </w:rPr>
        <w:t>Attention</w:t>
      </w:r>
      <w:r w:rsidR="0039648A">
        <w:rPr>
          <w:rFonts w:ascii="Arial" w:hAnsi="Arial" w:cs="Arial"/>
          <w:color w:val="EE0000"/>
        </w:rPr>
        <w:t xml:space="preserve"> : </w:t>
      </w:r>
      <w:r w:rsidR="0039648A" w:rsidRPr="00A912D5">
        <w:rPr>
          <w:rFonts w:ascii="Arial" w:hAnsi="Arial" w:cs="Arial"/>
          <w:color w:val="EE0000"/>
        </w:rPr>
        <w:t>échelle 0-100 km au lieu de 0-200 km</w:t>
      </w:r>
    </w:p>
    <w:p w14:paraId="5C6C3171" w14:textId="6E85268E" w:rsidR="00CB478A" w:rsidRPr="0039648A" w:rsidRDefault="004F0D83" w:rsidP="00EE13F2">
      <w:pPr>
        <w:spacing w:after="120" w:line="240" w:lineRule="auto"/>
        <w:rPr>
          <w:rFonts w:ascii="Arial" w:hAnsi="Arial" w:cs="Arial"/>
        </w:rPr>
      </w:pPr>
      <w:r w:rsidRPr="00EE13F2">
        <w:rPr>
          <w:rFonts w:ascii="Arial" w:hAnsi="Arial" w:cs="Arial"/>
          <w:noProof/>
        </w:rPr>
        <w:lastRenderedPageBreak/>
        <w:drawing>
          <wp:inline distT="0" distB="0" distL="0" distR="0" wp14:anchorId="7172D865" wp14:editId="38B5C889">
            <wp:extent cx="9361805" cy="6339840"/>
            <wp:effectExtent l="0" t="0" r="0" b="3810"/>
            <wp:docPr id="176480982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805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48A" w:rsidRPr="0039648A">
        <w:rPr>
          <w:rFonts w:ascii="Arial" w:hAnsi="Arial" w:cs="Arial"/>
        </w:rPr>
        <w:br/>
      </w:r>
      <w:r w:rsidR="0039648A" w:rsidRPr="00A912D5">
        <w:rPr>
          <w:rFonts w:ascii="Arial" w:hAnsi="Arial" w:cs="Arial"/>
          <w:color w:val="EE0000"/>
        </w:rPr>
        <w:t>Attention</w:t>
      </w:r>
      <w:r w:rsidR="0039648A">
        <w:rPr>
          <w:rFonts w:ascii="Arial" w:hAnsi="Arial" w:cs="Arial"/>
          <w:color w:val="EE0000"/>
        </w:rPr>
        <w:t xml:space="preserve"> : </w:t>
      </w:r>
      <w:r w:rsidR="0039648A" w:rsidRPr="00A912D5">
        <w:rPr>
          <w:rFonts w:ascii="Arial" w:hAnsi="Arial" w:cs="Arial"/>
          <w:color w:val="EE0000"/>
        </w:rPr>
        <w:t>échelle 0-100 km au lieu de 0-200 km</w:t>
      </w:r>
    </w:p>
    <w:p w14:paraId="5B18795B" w14:textId="1F04C218" w:rsidR="004F0D83" w:rsidRPr="00F56EC2" w:rsidRDefault="004F0D83" w:rsidP="00EE13F2">
      <w:pPr>
        <w:spacing w:after="120" w:line="240" w:lineRule="auto"/>
        <w:rPr>
          <w:rFonts w:ascii="Arial" w:hAnsi="Arial" w:cs="Arial"/>
        </w:rPr>
      </w:pPr>
      <w:r w:rsidRPr="00EE13F2">
        <w:rPr>
          <w:rFonts w:ascii="Arial" w:hAnsi="Arial" w:cs="Arial"/>
          <w:noProof/>
        </w:rPr>
        <w:lastRenderedPageBreak/>
        <w:drawing>
          <wp:inline distT="0" distB="0" distL="0" distR="0" wp14:anchorId="362BAE09" wp14:editId="0B345D8B">
            <wp:extent cx="9361805" cy="6330950"/>
            <wp:effectExtent l="0" t="0" r="0" b="0"/>
            <wp:docPr id="95512582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805" cy="63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EC2" w:rsidRPr="00F56EC2">
        <w:rPr>
          <w:rFonts w:ascii="Arial" w:hAnsi="Arial" w:cs="Arial"/>
        </w:rPr>
        <w:br/>
      </w:r>
      <w:r w:rsidR="00F56EC2" w:rsidRPr="00A912D5">
        <w:rPr>
          <w:rFonts w:ascii="Arial" w:hAnsi="Arial" w:cs="Arial"/>
          <w:color w:val="EE0000"/>
        </w:rPr>
        <w:t>Attention</w:t>
      </w:r>
      <w:r w:rsidR="00F56EC2">
        <w:rPr>
          <w:rFonts w:ascii="Arial" w:hAnsi="Arial" w:cs="Arial"/>
          <w:color w:val="EE0000"/>
        </w:rPr>
        <w:t xml:space="preserve"> : </w:t>
      </w:r>
      <w:r w:rsidR="00F56EC2" w:rsidRPr="00A912D5">
        <w:rPr>
          <w:rFonts w:ascii="Arial" w:hAnsi="Arial" w:cs="Arial"/>
          <w:color w:val="EE0000"/>
        </w:rPr>
        <w:t>échelle 0-100 km au lieu de 0-200 km</w:t>
      </w:r>
    </w:p>
    <w:p w14:paraId="48331200" w14:textId="7AB0B621" w:rsidR="004F0D83" w:rsidRPr="00F56EC2" w:rsidRDefault="00EA5BEA" w:rsidP="00EE13F2">
      <w:pPr>
        <w:spacing w:after="120" w:line="240" w:lineRule="auto"/>
        <w:rPr>
          <w:rFonts w:ascii="Arial" w:hAnsi="Arial" w:cs="Arial"/>
        </w:rPr>
      </w:pPr>
      <w:r w:rsidRPr="00EE13F2">
        <w:rPr>
          <w:rFonts w:ascii="Arial" w:hAnsi="Arial" w:cs="Arial"/>
          <w:noProof/>
        </w:rPr>
        <w:lastRenderedPageBreak/>
        <w:drawing>
          <wp:inline distT="0" distB="0" distL="0" distR="0" wp14:anchorId="6545FA10" wp14:editId="63AF2014">
            <wp:extent cx="9361805" cy="6339840"/>
            <wp:effectExtent l="0" t="0" r="0" b="3810"/>
            <wp:docPr id="37771972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805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EC2" w:rsidRPr="00F56EC2">
        <w:rPr>
          <w:rFonts w:ascii="Arial" w:hAnsi="Arial" w:cs="Arial"/>
        </w:rPr>
        <w:br/>
      </w:r>
      <w:r w:rsidR="00F56EC2" w:rsidRPr="00A912D5">
        <w:rPr>
          <w:rFonts w:ascii="Arial" w:hAnsi="Arial" w:cs="Arial"/>
          <w:color w:val="EE0000"/>
        </w:rPr>
        <w:t>Attention</w:t>
      </w:r>
      <w:r w:rsidR="00F56EC2">
        <w:rPr>
          <w:rFonts w:ascii="Arial" w:hAnsi="Arial" w:cs="Arial"/>
          <w:color w:val="EE0000"/>
        </w:rPr>
        <w:t xml:space="preserve"> : </w:t>
      </w:r>
      <w:r w:rsidR="00F56EC2" w:rsidRPr="00A912D5">
        <w:rPr>
          <w:rFonts w:ascii="Arial" w:hAnsi="Arial" w:cs="Arial"/>
          <w:color w:val="EE0000"/>
        </w:rPr>
        <w:t>échelle 0-100 km au lieu de 0-200 km</w:t>
      </w:r>
    </w:p>
    <w:p w14:paraId="3D19C516" w14:textId="2FB058D4" w:rsidR="00EA5BEA" w:rsidRPr="00F56EC2" w:rsidRDefault="00EA5BEA" w:rsidP="00EE13F2">
      <w:pPr>
        <w:spacing w:after="120" w:line="240" w:lineRule="auto"/>
        <w:rPr>
          <w:rFonts w:ascii="Arial" w:hAnsi="Arial" w:cs="Arial"/>
        </w:rPr>
      </w:pPr>
      <w:r w:rsidRPr="00EE13F2">
        <w:rPr>
          <w:rFonts w:ascii="Arial" w:hAnsi="Arial" w:cs="Arial"/>
          <w:noProof/>
        </w:rPr>
        <w:lastRenderedPageBreak/>
        <w:drawing>
          <wp:inline distT="0" distB="0" distL="0" distR="0" wp14:anchorId="6421A329" wp14:editId="5B254833">
            <wp:extent cx="9361805" cy="6339840"/>
            <wp:effectExtent l="0" t="0" r="0" b="3810"/>
            <wp:docPr id="92107599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805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EC2" w:rsidRPr="00F56EC2">
        <w:rPr>
          <w:rFonts w:ascii="Arial" w:hAnsi="Arial" w:cs="Arial"/>
        </w:rPr>
        <w:br/>
      </w:r>
      <w:r w:rsidR="00F56EC2" w:rsidRPr="00A912D5">
        <w:rPr>
          <w:rFonts w:ascii="Arial" w:hAnsi="Arial" w:cs="Arial"/>
          <w:color w:val="EE0000"/>
        </w:rPr>
        <w:t>Attention</w:t>
      </w:r>
      <w:r w:rsidR="00F56EC2">
        <w:rPr>
          <w:rFonts w:ascii="Arial" w:hAnsi="Arial" w:cs="Arial"/>
          <w:color w:val="EE0000"/>
        </w:rPr>
        <w:t xml:space="preserve"> : </w:t>
      </w:r>
      <w:r w:rsidR="00F56EC2" w:rsidRPr="00A912D5">
        <w:rPr>
          <w:rFonts w:ascii="Arial" w:hAnsi="Arial" w:cs="Arial"/>
          <w:color w:val="EE0000"/>
        </w:rPr>
        <w:t>échelle 0-100 km au lieu de 0-200 km</w:t>
      </w:r>
    </w:p>
    <w:p w14:paraId="4B5AAE0F" w14:textId="611C6592" w:rsidR="00EA5BEA" w:rsidRPr="00F56EC2" w:rsidRDefault="00EA5BEA" w:rsidP="00EE13F2">
      <w:pPr>
        <w:spacing w:after="120" w:line="240" w:lineRule="auto"/>
        <w:rPr>
          <w:rFonts w:ascii="Arial" w:hAnsi="Arial" w:cs="Arial"/>
        </w:rPr>
      </w:pPr>
      <w:r w:rsidRPr="00EE13F2">
        <w:rPr>
          <w:rFonts w:ascii="Arial" w:hAnsi="Arial" w:cs="Arial"/>
          <w:noProof/>
        </w:rPr>
        <w:lastRenderedPageBreak/>
        <w:drawing>
          <wp:inline distT="0" distB="0" distL="0" distR="0" wp14:anchorId="4F21B06A" wp14:editId="5135D335">
            <wp:extent cx="9361805" cy="6356350"/>
            <wp:effectExtent l="0" t="0" r="0" b="6350"/>
            <wp:docPr id="130950077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805" cy="63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EC2" w:rsidRPr="00F56EC2">
        <w:rPr>
          <w:rFonts w:ascii="Arial" w:hAnsi="Arial" w:cs="Arial"/>
        </w:rPr>
        <w:br/>
      </w:r>
      <w:r w:rsidR="00F56EC2" w:rsidRPr="00A912D5">
        <w:rPr>
          <w:rFonts w:ascii="Arial" w:hAnsi="Arial" w:cs="Arial"/>
          <w:color w:val="EE0000"/>
        </w:rPr>
        <w:t>Attention</w:t>
      </w:r>
      <w:r w:rsidR="00F56EC2">
        <w:rPr>
          <w:rFonts w:ascii="Arial" w:hAnsi="Arial" w:cs="Arial"/>
          <w:color w:val="EE0000"/>
        </w:rPr>
        <w:t xml:space="preserve"> : </w:t>
      </w:r>
      <w:r w:rsidR="00F56EC2" w:rsidRPr="00A912D5">
        <w:rPr>
          <w:rFonts w:ascii="Arial" w:hAnsi="Arial" w:cs="Arial"/>
          <w:color w:val="EE0000"/>
        </w:rPr>
        <w:t>échelle 0-100 km au lieu de 0-200 km</w:t>
      </w:r>
    </w:p>
    <w:p w14:paraId="738AC2BE" w14:textId="30443CE7" w:rsidR="00EA5BEA" w:rsidRPr="00F56EC2" w:rsidRDefault="007F5872" w:rsidP="00EE13F2">
      <w:pPr>
        <w:spacing w:after="120" w:line="240" w:lineRule="auto"/>
        <w:rPr>
          <w:rFonts w:ascii="Arial" w:hAnsi="Arial" w:cs="Arial"/>
        </w:rPr>
      </w:pPr>
      <w:r w:rsidRPr="00EE13F2">
        <w:rPr>
          <w:rFonts w:ascii="Arial" w:hAnsi="Arial" w:cs="Arial"/>
          <w:noProof/>
        </w:rPr>
        <w:lastRenderedPageBreak/>
        <w:drawing>
          <wp:inline distT="0" distB="0" distL="0" distR="0" wp14:anchorId="60FD1FAB" wp14:editId="5E8C49F9">
            <wp:extent cx="9361805" cy="6339840"/>
            <wp:effectExtent l="0" t="0" r="0" b="3810"/>
            <wp:docPr id="137357227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805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EC2" w:rsidRPr="00F56EC2">
        <w:rPr>
          <w:rFonts w:ascii="Arial" w:hAnsi="Arial" w:cs="Arial"/>
        </w:rPr>
        <w:br/>
      </w:r>
      <w:r w:rsidR="00F56EC2" w:rsidRPr="00A912D5">
        <w:rPr>
          <w:rFonts w:ascii="Arial" w:hAnsi="Arial" w:cs="Arial"/>
          <w:color w:val="EE0000"/>
        </w:rPr>
        <w:t>Attention</w:t>
      </w:r>
      <w:r w:rsidR="00F56EC2">
        <w:rPr>
          <w:rFonts w:ascii="Arial" w:hAnsi="Arial" w:cs="Arial"/>
          <w:color w:val="EE0000"/>
        </w:rPr>
        <w:t xml:space="preserve"> : </w:t>
      </w:r>
      <w:r w:rsidR="00F56EC2" w:rsidRPr="00A912D5">
        <w:rPr>
          <w:rFonts w:ascii="Arial" w:hAnsi="Arial" w:cs="Arial"/>
          <w:color w:val="EE0000"/>
        </w:rPr>
        <w:t>échelle 0-100 km au lieu de 0-200 km</w:t>
      </w:r>
    </w:p>
    <w:sectPr w:rsidR="00EA5BEA" w:rsidRPr="00F56EC2" w:rsidSect="00CB478A">
      <w:pgSz w:w="16838" w:h="11906" w:orient="landscape"/>
      <w:pgMar w:top="993" w:right="678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44E"/>
    <w:rsid w:val="000707C6"/>
    <w:rsid w:val="000E5AAE"/>
    <w:rsid w:val="00152AE6"/>
    <w:rsid w:val="00195F94"/>
    <w:rsid w:val="001D044E"/>
    <w:rsid w:val="002413EB"/>
    <w:rsid w:val="00272777"/>
    <w:rsid w:val="002832CB"/>
    <w:rsid w:val="002962D2"/>
    <w:rsid w:val="002B62C0"/>
    <w:rsid w:val="00304411"/>
    <w:rsid w:val="00376510"/>
    <w:rsid w:val="0039648A"/>
    <w:rsid w:val="004134C7"/>
    <w:rsid w:val="00494394"/>
    <w:rsid w:val="004F0D83"/>
    <w:rsid w:val="005B69A8"/>
    <w:rsid w:val="0061737E"/>
    <w:rsid w:val="007F5872"/>
    <w:rsid w:val="009421E2"/>
    <w:rsid w:val="009C669B"/>
    <w:rsid w:val="00A12BB6"/>
    <w:rsid w:val="00A34DD1"/>
    <w:rsid w:val="00A912D5"/>
    <w:rsid w:val="00AA699E"/>
    <w:rsid w:val="00AB3FEC"/>
    <w:rsid w:val="00AB4697"/>
    <w:rsid w:val="00AC753B"/>
    <w:rsid w:val="00AD22AE"/>
    <w:rsid w:val="00BD3FE5"/>
    <w:rsid w:val="00CB478A"/>
    <w:rsid w:val="00CE3FE3"/>
    <w:rsid w:val="00D31647"/>
    <w:rsid w:val="00D40000"/>
    <w:rsid w:val="00D76E94"/>
    <w:rsid w:val="00D92B85"/>
    <w:rsid w:val="00DD6E76"/>
    <w:rsid w:val="00EA5BEA"/>
    <w:rsid w:val="00ED2842"/>
    <w:rsid w:val="00EE13F2"/>
    <w:rsid w:val="00EE6FE0"/>
    <w:rsid w:val="00F2641A"/>
    <w:rsid w:val="00F56EC2"/>
    <w:rsid w:val="00FB1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9B82C5"/>
  <w15:chartTrackingRefBased/>
  <w15:docId w15:val="{8DA063E6-FAC7-402D-A3E9-EF9C5C733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D04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D04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D04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D04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D04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D04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D04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D04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D04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PubliAdG">
    <w:name w:val="Style Publi AdG"/>
    <w:basedOn w:val="Normal"/>
    <w:qFormat/>
    <w:rsid w:val="00FB11FA"/>
    <w:pPr>
      <w:widowControl w:val="0"/>
      <w:spacing w:after="0" w:line="240" w:lineRule="auto"/>
    </w:pPr>
    <w:rPr>
      <w:rFonts w:eastAsia="Arial" w:cstheme="minorHAnsi"/>
      <w:b/>
      <w:kern w:val="0"/>
      <w:sz w:val="28"/>
      <w:szCs w:val="28"/>
      <w:lang w:val="en-GB" w:eastAsia="en-GB"/>
      <w14:ligatures w14:val="none"/>
    </w:rPr>
  </w:style>
  <w:style w:type="character" w:customStyle="1" w:styleId="Titre1Car">
    <w:name w:val="Titre 1 Car"/>
    <w:basedOn w:val="Policepardfaut"/>
    <w:link w:val="Titre1"/>
    <w:uiPriority w:val="9"/>
    <w:rsid w:val="001D04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D04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D04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D044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D044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D044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D044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D044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D044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D04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D04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D04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D04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D04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D044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D044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D044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D04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D044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D04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1277</Words>
  <Characters>6592</Characters>
  <Application>Microsoft Office Word</Application>
  <DocSecurity>0</DocSecurity>
  <Lines>119</Lines>
  <Paragraphs>27</Paragraphs>
  <ScaleCrop>false</ScaleCrop>
  <Company/>
  <LinksUpToDate>false</LinksUpToDate>
  <CharactersWithSpaces>7842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DE GRAAUW</dc:creator>
  <cp:keywords/>
  <dc:description/>
  <cp:lastModifiedBy>Arthur DE GRAAUW</cp:lastModifiedBy>
  <cp:revision>37</cp:revision>
  <dcterms:created xsi:type="dcterms:W3CDTF">2025-11-04T10:24:00Z</dcterms:created>
  <dcterms:modified xsi:type="dcterms:W3CDTF">2025-11-06T17:16:00Z</dcterms:modified>
</cp:coreProperties>
</file>